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SchwbWV — Inkrafttreten</w:t>
      </w:r>
    </w:p>
    <w:p>
      <w:r>
        <w:rPr>
          <w:color w:val="555555"/>
          <w:sz w:val="18"/>
        </w:rPr>
        <w:t xml:space="preserve">Werkstättenverordnung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21 SchwbWV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https://recht.nulegal.eu/gesetze/SchwbWV/21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