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SchwbWV — Antrag</w:t>
      </w:r>
    </w:p>
    <w:p>
      <w:r>
        <w:rPr>
          <w:color w:val="555555"/>
          <w:sz w:val="18"/>
        </w:rPr>
        <w:t xml:space="preserve">Werkstättenverordnung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Anerkennung ist vom Träger der Werkstatt schriftlich oder elektronisch zu beantragen. Der Antragsteller hat nachzuweisen, daß die Voraussetzungen für die Anerkennung vorliegen.</w:t>
      </w:r>
    </w:p>
    <w:p>
      <w:r>
        <w:t xml:space="preserve">(2) Die Entscheidung über den Antrag ergeht schriftlich oder elektronisch. Eine Entscheidung soll innerhalb von 3 Monaten seit Antragstellung getroffen werden.</w:t>
      </w:r>
    </w:p>
    <w:p>
      <w:r>
        <w:t xml:space="preserve">(3) Die Anerkennung erfolgt mit der Auflage, im Geschäftsverkehr auf die Anerkennung als Werkstatt für behinderte Menschen hinzuweisen.</w:t>
      </w:r>
    </w:p>
    <w:p>
      <w:r>
        <w:rPr>
          <w:color w:val="555555"/>
          <w:sz w:val="17"/>
        </w:rPr>
        <w:t xml:space="preserve">Zitiervorschlag: § 18 SchwbWV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https://recht.nulegal.eu/gesetze/SchwbWV/18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