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SchwbWV — Mitbestimmung, Mitwirkung, Frauenbeauftragte</w:t>
      </w:r>
    </w:p>
    <w:p>
      <w:r>
        <w:rPr>
          <w:color w:val="555555"/>
          <w:sz w:val="18"/>
        </w:rPr>
        <w:t xml:space="preserve">Werkstättenverordnung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Werkstatt hat den Menschen mit Behinderungen im Sinne des § 13 Absatz 1 Satz 1 eine angemessene Mitbestimmung und Mitwirkung durch Werkstatträte sowie den Frauenbeauftragten eine angemessene Interessenvertretung zu ermöglichen.</w:t>
      </w:r>
    </w:p>
    <w:p>
      <w:r>
        <w:rPr>
          <w:color w:val="555555"/>
          <w:sz w:val="17"/>
        </w:rPr>
        <w:t xml:space="preserve">Zitiervorschlag: § 14 SchwbWV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https://recht.nulegal.eu/gesetze/SchwbWV/14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