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SchwbWV — Grundsatz der einheitlichen Werkstatt</w:t>
      </w:r>
    </w:p>
    <w:p>
      <w:r>
        <w:rPr>
          <w:color w:val="555555"/>
          <w:sz w:val="18"/>
        </w:rPr>
        <w:t xml:space="preserve">Werkstättenverordnung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Werkstatt für behinderte Menschen (Werkstatt) hat zur Erfüllung ihrer gesetzlichen Aufgaben die Voraussetzungen dafür zu schaffen, daß sie die behinderten Menschen im Sinne des § 219 Absatz 2 des Neunten Buches Sozialgesetzbuch aus ihrem Einzugsgebiet aufnehmen kann.</w:t>
      </w:r>
    </w:p>
    <w:p>
      <w:r>
        <w:t xml:space="preserve">(2) Der unterschiedlichen Art der Behinderung und ihren Auswirkungen soll innerhalb der Werkstatt durch geeignete Maßnahmen, insbesondere durch Bildung besonderer Gruppen im Berufsbildungs- und Arbeitsbereich, Rechnung getragen werden.</w:t>
      </w:r>
    </w:p>
    <w:p>
      <w:r>
        <w:rPr>
          <w:color w:val="555555"/>
          <w:sz w:val="17"/>
        </w:rPr>
        <w:t xml:space="preserve">Zitiervorschlag: § 1 SchwbWV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https://recht.nulegal.eu/gesetze/SchwbWV/1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