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SchwbWO — Liste der Wahlberechtigten</w:t>
      </w:r>
    </w:p>
    <w:p>
      <w:r>
        <w:rPr>
          <w:color w:val="555555"/>
          <w:sz w:val="18"/>
        </w:rPr>
        <w:t xml:space="preserve">Wahlordnung Schwerbehindertenvertretungen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Wahlvorstand stellt eine Liste der Wahlberechtigten auf. Die Wahlberechtigten sollen mit Familienname, Vorname, erforderlichenfalls Geburtsdatum sowie Betrieb oder Dienststelle in alphabetischer Reihenfolge aufgeführt werden.</w:t>
      </w:r>
    </w:p>
    <w:p>
      <w:r>
        <w:t xml:space="preserve">(2) Die Liste der Wahlberechtigten oder eine Abschrift ist unverzüglich nach Einleitung der Wahl bis zum Abschluß der Stimmabgabe an geeigneter Stelle zur Einsicht auszulegen.</w:t>
      </w:r>
    </w:p>
    <w:p>
      <w:r>
        <w:rPr>
          <w:color w:val="555555"/>
          <w:sz w:val="17"/>
        </w:rPr>
        <w:t xml:space="preserve">Zitiervorschlag: § 3 SchwbWO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https://recht.nulegal.eu/gesetze/SchwbWO/3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