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SchwbWO — Durchführung der Wahl</w:t>
      </w:r>
    </w:p>
    <w:p>
      <w:r>
        <w:rPr>
          <w:color w:val="555555"/>
          <w:sz w:val="18"/>
        </w:rPr>
        <w:t xml:space="preserve">Wahlordnung Schwerbehindertenvertretungen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Wahlversammlung beschließt unter dem Vorsitz des oder der lebensältesten Wahlberechtigten das Wahlverfahren und die Anzahl der stellvertretenden Mitglieder der Schwerbehindertenvertretung.</w:t>
      </w:r>
    </w:p>
    <w:p>
      <w:r>
        <w:t xml:space="preserve">(2) Die Leitung der Wahlversammlung hat die Gewählten unverzüglich von ihrer Wahl zu benachrichtigen. § 14 Abs. 1 Satz 2 und Abs. 2 sowie die §§ 15 und 16 gelten entsprechend.</w:t>
      </w:r>
    </w:p>
    <w:p>
      <w:r>
        <w:rPr>
          <w:color w:val="555555"/>
          <w:sz w:val="17"/>
        </w:rPr>
        <w:t xml:space="preserve">Zitiervorschlag: § 25 SchwbWO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https://recht.nulegal.eu/gesetze/SchwbWO/25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SchwbWO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