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SchwbWO — Wahlverfahren</w:t>
      </w:r>
    </w:p>
    <w:p>
      <w:r>
        <w:rPr>
          <w:color w:val="555555"/>
          <w:sz w:val="18"/>
        </w:rPr>
        <w:t xml:space="preserve">Wahlordnung Schwerbehindertenvertretungen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Wahl der Schwerbehindertenvertretung, der Bezirks- und Hauptschwerbehindertenvertretung der schwerbehinderten Staatsanwälte und Staatsanwältinnen in den Fällen des § 177 Absatz 1 Satz 3 des Neunten Buches Sozialgesetzbuch gelten die Vorschriften des Ersten und Zweiten Teils entsprechend.</w:t>
      </w:r>
    </w:p>
    <w:p>
      <w:r>
        <w:rPr>
          <w:color w:val="555555"/>
          <w:sz w:val="17"/>
        </w:rPr>
        <w:t xml:space="preserve">Zitiervorschlag: § 23 SchwbWO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https://recht.nulegal.eu/gesetze/SchwbWO/23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SchwbWO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