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SchwbWO — Aufbewahrung der Wahlunterlagen</w:t>
      </w:r>
    </w:p>
    <w:p>
      <w:r>
        <w:rPr>
          <w:color w:val="555555"/>
          <w:sz w:val="18"/>
        </w:rPr>
        <w:t xml:space="preserve">Wahlordnung Schwerbehindertenvertretungen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Wahlunterlagen, insbesondere die Niederschriften, Bekanntmachungen und Stimmzettel, werden von der Schwerbehindertenvertretung mindestens bis zur Beendigung der Wahlperiode aufbewahrt.</w:t>
      </w:r>
    </w:p>
    <w:p>
      <w:r>
        <w:rPr>
          <w:color w:val="555555"/>
          <w:sz w:val="17"/>
        </w:rPr>
        <w:t xml:space="preserve">Zitiervorschlag: § 16 SchwbWO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https://recht.nulegal.eu/gesetze/SchwbWO/16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