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Muster 1 SchwbAwV</w:t>
      </w:r>
    </w:p>
    <w:p>
      <w:r>
        <w:rPr>
          <w:color w:val="555555"/>
          <w:sz w:val="18"/>
        </w:rPr>
        <w:t xml:space="preserve">Schwerbehindertenausweisverordnung</w:t>
      </w:r>
    </w:p>
    <w:p>
      <w:r>
        <w:rPr>
          <w:color w:val="555555"/>
          <w:sz w:val="18"/>
        </w:rPr>
        <w:t xml:space="preserve">Stand: 10.06.2019 (konsolidierte Textfassung, kein amtliches Inkrafttretensdatum)</w:t>
      </w:r>
    </w:p>
    <w:p>
      <w:r>
        <w:t xml:space="preserve">(Fundstelle: BGBl I 1991, 1743; bzgl. der einzelnen Änderungen vgl. Fußnote) (Vorderseite) (nicht darstellbares Ausweisformular) (Rückseite) (nicht darstellbares Ausweisformular) Der Ausweis ist amtlicher Nachweis für die Eigenschaft als schwerbehinderter Mensch, den Grad der Behinderung, die auf ihm eingetragenen weiteren gesundheitlichen Merkmale und die Zugehörigkeit zu Sondergruppen. Er dient dem Nachweis für die Inanspruchnahme von Rechten und Nachteilsausgleichen, die schwerbehinderten Menschen nach dem Neunten Buch Sozialgesetzbuch oder nach anderen Vorschriften zustehen. Änderungen in den für die Eintragungen maßgebenden Verhältnissen sind der ausstellenden Behörde unverzüglich mitzuteilen. Nach Aufforderung ist der Ausweis, der Eigentum der ausstellenden Behörde bleibt, zum Zwecke der Berichtigung oder Einziehung vorzulegen. Die mißbräuchliche Verwendung ist strafbar.</w:t>
      </w:r>
    </w:p>
    <w:p>
      <w:r>
        <w:rPr>
          <w:color w:val="555555"/>
          <w:sz w:val="17"/>
        </w:rPr>
        <w:t xml:space="preserve">Zitiervorschlag: Muster 1 SchwbAwV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https://recht.nulegal.eu/gesetze/SchwbAwV/muster-1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