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SchwbAwV — Lichtbild</w:t>
      </w:r>
    </w:p>
    <w:p>
      <w:r>
        <w:rPr>
          <w:color w:val="555555"/>
          <w:sz w:val="18"/>
        </w:rPr>
        <w:t xml:space="preserve">Schwerbehindertenausweisverordnung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Ausweis ist mit einem Bild des schwerbehinderten Menschen zu versehen, wenn dieser das 10. Lebensjahr vollendet hat. Hierzu hat der schwerbehinderte Mensch ein Passbild beizubringen.</w:t>
      </w:r>
    </w:p>
    <w:p>
      <w:r>
        <w:t xml:space="preserve">(2) Bei schwerbehinderten Menschen, die das Haus nicht oder nur mit Hilfe eines Krankenwagens verlassen können, ist der Ausweis auf Antrag ohne Lichtbild auszustellen.</w:t>
      </w:r>
    </w:p>
    <w:p>
      <w:r>
        <w:t xml:space="preserve">(3) In Ausweisen ohne Lichtbild ist in dem für das Lichtbild vorgesehenen Raum der Vermerk "Ohne Lichtbild gültig" einzutragen.</w:t>
      </w:r>
    </w:p>
    <w:p>
      <w:r>
        <w:rPr>
          <w:color w:val="555555"/>
          <w:sz w:val="17"/>
        </w:rPr>
        <w:t xml:space="preserve">Zitiervorschlag: § 5 SchwbAwV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https://recht.nulegal.eu/gesetze/SchwbAwV/5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