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SchwbAwV — Sonstige Eintragungen</w:t>
      </w:r>
    </w:p>
    <w:p>
      <w:r>
        <w:rPr>
          <w:color w:val="555555"/>
          <w:sz w:val="18"/>
        </w:rPr>
        <w:t xml:space="preserve">Schwerbehindertenausweisverordnung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Eintragung von Sondervermerken zum Nachweis von weiteren Voraussetzungen für die Inanspruchnahme von Rechten und Nachteilsausgleichen, die schwerbehinderten Menschen nach landesrechtlichen Vorschriften zustehen, ist zulässig.</w:t>
      </w:r>
    </w:p>
    <w:p>
      <w:r>
        <w:t xml:space="preserve">(2) Die Eintragung von Merkzeichen oder sonstigen Vermerken, die in dieser Verordnung (§§ 2, 3, 4 Abs. 1 und § 5 Abs. 3) nicht vorgesehen sind, ist unzulässig.</w:t>
      </w:r>
    </w:p>
    <w:p>
      <w:r>
        <w:rPr>
          <w:color w:val="555555"/>
          <w:sz w:val="17"/>
        </w:rPr>
        <w:t xml:space="preserve">Zitiervorschlag: § 4 SchwbAwV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https://recht.nulegal.eu/gesetze/SchwbAwV/4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