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SchwbAwV — Weitere Merkzeichen</w:t>
      </w:r>
    </w:p>
    <w:p>
      <w:r>
        <w:rPr>
          <w:color w:val="555555"/>
          <w:sz w:val="18"/>
        </w:rPr>
        <w:t xml:space="preserve">Schwerbehindertenausweisverordnung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Ausweis sind auf der Rückseite folgende Merkzeichen einzutragen:</w:t>
      </w:r>
    </w:p>
    <w:p>
      <w:r>
        <w:rPr>
          <w:rFonts w:ascii="Courier New" w:hAnsi="Courier New"/>
          <w:sz w:val="17"/>
        </w:rPr>
        <w:t xml:space="preserve">1.    aG    wenn der schwerbehinderte Mensch außergewöhnlich gehbehindert im Sinne des § 229 Absatz 3 des Neunten Buches Sozialgesetzbuch ist,</w:t>
      </w:r>
    </w:p>
    <w:p>
      <w:r>
        <w:rPr>
          <w:rFonts w:ascii="Courier New" w:hAnsi="Courier New"/>
          <w:sz w:val="17"/>
        </w:rPr>
        <w:t xml:space="preserve">2.    H    wenn der schwerbehinderte Mensch hilflos im Sinne des § 33b des Einkommensteuergesetzes oder entsprechender Vorschriften ist,</w:t>
      </w:r>
    </w:p>
    <w:p>
      <w:r>
        <w:rPr>
          <w:rFonts w:ascii="Courier New" w:hAnsi="Courier New"/>
          <w:sz w:val="17"/>
        </w:rPr>
        <w:t xml:space="preserve">3.    BI    wenn der schwerbehinderte Mensch blind im Sinne des § 72 Abs. 5 des Zwölften Buches Sozialgesetzbuch oder entsprechender Vorschriften ist,</w:t>
      </w:r>
    </w:p>
    <w:p>
      <w:r>
        <w:rPr>
          <w:rFonts w:ascii="Courier New" w:hAnsi="Courier New"/>
          <w:sz w:val="17"/>
        </w:rPr>
        <w:t xml:space="preserve">4.    GI    wenn der schwerbehinderte Mensch gehörlos im Sinne des § 228 des Neunten Buches Sozialgesetzbuch ist,</w:t>
      </w:r>
    </w:p>
    <w:p>
      <w:r>
        <w:rPr>
          <w:rFonts w:ascii="Courier New" w:hAnsi="Courier New"/>
          <w:sz w:val="17"/>
        </w:rPr>
        <w:t xml:space="preserve">5.    RF    wenn der schwerbehinderte Mensch die landesrechtlich festgelegten gesundheitlichen Voraussetzungen für die Befreiung von der Rundfunkgebührenpflicht erfüllt,</w:t>
      </w:r>
    </w:p>
    <w:p>
      <w:r>
        <w:rPr>
          <w:rFonts w:ascii="Courier New" w:hAnsi="Courier New"/>
          <w:sz w:val="17"/>
        </w:rPr>
        <w:t xml:space="preserve">6.    1. Kl.    wenn der schwerbehinderte Mensch die im Verkehr mit Eisenbahnen tariflich festgelegten gesundheitlichen Voraussetzungen für die Benutzung der 1. Wagenklasse mit Fahrausweis der 2. Wagenklasse erfüllt,</w:t>
      </w:r>
    </w:p>
    <w:p>
      <w:r>
        <w:rPr>
          <w:rFonts w:ascii="Courier New" w:hAnsi="Courier New"/>
          <w:sz w:val="17"/>
        </w:rPr>
        <w:t xml:space="preserve">7.    G    wenn der schwerbehinderte Mensch in seiner Bewegungsfähigkeit im Straßenverkehr erheblich beeinträchtigt im Sinne des § 229 Absatz 1 Satz 1 des Neunten Buches Sozialgesetzbuch oder entsprechender Vorschriften ist,</w:t>
      </w:r>
    </w:p>
    <w:p>
      <w:r>
        <w:rPr>
          <w:rFonts w:ascii="Courier New" w:hAnsi="Courier New"/>
          <w:sz w:val="17"/>
        </w:rPr>
        <w:t xml:space="preserve">8.    TBI    wenn der schwerbehinderte Mensch wegen einer Störung der Hörfunktion mindestens einen Grad der Behinderung von 70 und wegen einer Störung des Sehvermögens einen Grad der Behinderung von 100 hat.</w:t>
      </w:r>
    </w:p>
    <w:p>
      <w:r>
        <w:t xml:space="preserve">(2) Ist der schwerbehinderte Mensch zur Mitnahme einer Begleitperson im Sinne des § 229 Absatz 2 des Neunten Buches Sozialgesetzbuch berechtigt, sind auf der Vorderseite des Ausweises das Merkzeichen „B“ und der Satz „Die Berechtigung zur Mitnahme einer Begleitperson ist nachgewiesen“ einzutragen.</w:t>
      </w:r>
    </w:p>
    <w:p>
      <w:r>
        <w:rPr>
          <w:color w:val="555555"/>
          <w:sz w:val="17"/>
        </w:rPr>
        <w:t xml:space="preserve">Zitiervorschlag: § 3 SchwbAwV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https://recht.nulegal.eu/gesetze/SchwbAwV/3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