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SchwbAV 1988</w:t>
      </w:r>
    </w:p>
    <w:p>
      <w:r>
        <w:rPr>
          <w:color w:val="555555"/>
          <w:sz w:val="18"/>
        </w:rPr>
        <w:t xml:space="preserve">Schwerbehinderten-Ausgleichsabgabeverordnung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11 Abs. 3 Satz 3, § 12 Abs. 2 und § 33 Abs. 2 Satz 5 des Schwerbehindertengesetzes in der Fassung der Bekanntmachung vom 26. August 1986 (BGBl. I S. 1421) sowie des Artikels 12 Abs. 2 des Gesetzes zur Erleichterung des Übergangs vom Arbeitsleben in den Ruhestand vom 13. April 1984 (BGBl. I S. 601) verordnet die Bundesregierung mit Zustimmung des Bundesrates:</w:t>
      </w:r>
    </w:p>
    <w:p>
      <w:r>
        <w:rPr>
          <w:color w:val="555555"/>
          <w:sz w:val="17"/>
        </w:rPr>
        <w:t xml:space="preserve">Zitiervorschlag: Eingangsformel SchwbAV 1988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https://recht.nulegal.eu/gesetze/SchwbAV%201988/eingangsformel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