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SchwbAV 1988 — Inkrafttreten, Außerkrafttreten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47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SchwbAV 1988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