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SchwbAV 1988 — Verwendungszwecke</w:t>
      </w:r>
    </w:p>
    <w:p>
      <w:r>
        <w:rPr>
          <w:color w:val="555555"/>
          <w:sz w:val="18"/>
        </w:rPr>
        <w:t xml:space="preserve">Schwerbehinderten-Ausgleichsabgabeverordnung</w:t>
      </w:r>
    </w:p>
    <w:p>
      <w:r>
        <w:rPr>
          <w:color w:val="555555"/>
          <w:sz w:val="18"/>
        </w:rPr>
        <w:t xml:space="preserve">Stand: 01.01.2024 (konsolidierte Textfassung, kein amtliches Inkrafttretensdatum)</w:t>
      </w:r>
    </w:p>
    <w:p>
      <w:r>
        <w:t xml:space="preserve">(1) Die Mittel aus dem Ausgleichsfonds sind zu verwenden für</w:t>
      </w:r>
    </w:p>
    <w:p>
      <w:pPr>
        <w:ind w:left="420"/>
      </w:pPr>
      <w:r>
        <w:t xml:space="preserve">1. Zuweisungen an die Bundesagentur für Arbeit zur besonderen Förderung der Teilhabe schwerbehinderter Menschen am Arbeitsleben, insbesondere durch Eingliederungszuschüsse und Zuschüsse zur Ausbildungsvergütung nach dem Dritten Buch Sozialgesetzbuch, und zwar ab 2009 jährlich in Höhe von 16 vom Hundert des Aufkommens an Ausgleichsabgabe,</w:t>
      </w:r>
    </w:p>
    <w:p>
      <w:pPr>
        <w:ind w:left="420"/>
      </w:pPr>
      <w:r>
        <w:t xml:space="preserve">2. befristete überregionale Programme zum Abbau der Arbeitslosigkeit schwerbehinderter Menschen, besonderer Gruppen von schwerbehinderten Menschen (§ 155 des Neunten Buches Sozialgesetzbuch) oder schwerbehinderter Frauen sowie zur Förderung des Ausbildungsplatzangebots für schwerbehinderte Menschen,</w:t>
      </w:r>
    </w:p>
    <w:p>
      <w:pPr>
        <w:ind w:left="420"/>
      </w:pPr>
      <w:r>
        <w:t xml:space="preserve">3. (weggefallen)</w:t>
      </w:r>
    </w:p>
    <w:p>
      <w:pPr>
        <w:ind w:left="420"/>
      </w:pPr>
      <w:r>
        <w:t xml:space="preserve">4. überregionale Modellvorhaben zur Weiterentwicklung der Förderung der Teilhabe schwerbehinderter Menschen am Arbeitsleben, insbesondere durch betriebliches Eingliederungsmanagement, und der Förderung der Ausbildung schwerbehinderter Jugendlicher,</w:t>
      </w:r>
    </w:p>
    <w:p>
      <w:pPr>
        <w:ind w:left="420"/>
      </w:pPr>
      <w:r>
        <w:t xml:space="preserve">5. die Entwicklung technischer Arbeitshilfen und</w:t>
      </w:r>
    </w:p>
    <w:p>
      <w:pPr>
        <w:ind w:left="420"/>
      </w:pPr>
      <w:r>
        <w:t xml:space="preserve">6. Aufklärungs-, Fortbildungs- und Forschungsmaßnahmen auf dem Gebiet der Teilhabe schwerbehinderter Menschen am Arbeitsleben, sofern diesen Maßnahmen überregionale Bedeutung zukommt.</w:t>
      </w:r>
    </w:p>
    <w:p>
      <w:r>
        <w:t xml:space="preserve">(2) Die Mittel des Ausgleichsfonds sind vorrangig für die Eingliederung schwerbehinderter Menschen in den allgemeinen Arbeitsmarkt zu verwenden.</w:t>
      </w:r>
    </w:p>
    <w:p>
      <w:r>
        <w:t xml:space="preserve">(3) Der Ausgleichsfonds kann sich an der Förderung von Forschungs- und Modellvorhaben durch die Integrationsämter nach § 14 Abs. 1 Nr. 4 beteiligen, sofern diese Vorhaben auch für andere Länder oder den Bund von Bedeutung sein können.</w:t>
      </w:r>
    </w:p>
    <w:p>
      <w:r>
        <w:t xml:space="preserve">(4) (weggefallen)</w:t>
      </w:r>
    </w:p>
    <w:p>
      <w:r>
        <w:rPr>
          <w:color w:val="555555"/>
          <w:sz w:val="17"/>
        </w:rPr>
        <w:t xml:space="preserve">Zitiervorschlag: § 41 SchwbAV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https://recht.nulegal.eu/gesetze/SchwbAV%201988/41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SchwbAV 1988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