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SchwbAV 1988 — Feststellung des Wirtschaftsplans</w:t>
      </w:r>
    </w:p>
    <w:p>
      <w:r>
        <w:rPr>
          <w:color w:val="555555"/>
          <w:sz w:val="18"/>
        </w:rPr>
        <w:t xml:space="preserve">Schwerbehinderten-Ausgleichsabgabeverordnung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Arbeit und Soziales stellt im Benehmen mit dem Bundesministerium der Finanzen und im Einvernehmen mit dem Beirat für die Teilhabe behinderter Menschen (Beirat) den Wirtschaftsplan fest. § 1 der Bundeshaushaltsordnung findet keine Anwendung.</w:t>
      </w:r>
    </w:p>
    <w:p>
      <w:r>
        <w:rPr>
          <w:color w:val="555555"/>
          <w:sz w:val="17"/>
        </w:rPr>
        <w:t xml:space="preserve">Zitiervorschlag: § 39 SchwbAV 1988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https://recht.nulegal.eu/gesetze/SchwbAV%201988/39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