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SchwbAV 1988 — Aufstellung eines Wirtschaftsplans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jedes Kalenderjahr (Wirtschaftsjahr) ist ein Wirtschaftsplan aufzustellen.</w:t>
      </w:r>
    </w:p>
    <w:p>
      <w:r>
        <w:t xml:space="preserve">(2) Der Wirtschaftsplan enthält alle im Wirtschaftsjahr</w:t>
      </w:r>
    </w:p>
    <w:p>
      <w:pPr>
        <w:ind w:left="420"/>
      </w:pPr>
      <w:r>
        <w:t xml:space="preserve">1. zu erwartenden Einnahmen</w:t>
      </w:r>
    </w:p>
    <w:p>
      <w:pPr>
        <w:ind w:left="420"/>
      </w:pPr>
      <w:r>
        <w:t xml:space="preserve">2. voraussichtlich zu leistenden Ausgaben und</w:t>
      </w:r>
    </w:p>
    <w:p>
      <w:pPr>
        <w:ind w:left="420"/>
      </w:pPr>
      <w:r>
        <w:t xml:space="preserve">3. voraussichtlich benötigten Verpflichtungsermächtigungen.</w:t>
      </w:r>
    </w:p>
    <w:p>
      <w:r>
        <w:t xml:space="preserve">Zinsen, Tilgungsbeträge aus Darlehen, zurückgezahlte Zuschüsse sowie unverbrauchte Mittel des Vorjahres fließen dem Ausgleichsfonds als Einnahmen zu.</w:t>
      </w:r>
    </w:p>
    <w:p>
      <w:r>
        <w:t xml:space="preserve">(3) Der Wirtschaftsplan ist in Einnahmen und Ausgaben auszugleichen.</w:t>
      </w:r>
    </w:p>
    <w:p>
      <w:r>
        <w:t xml:space="preserve">(4) Die Ausgaben sind gegenseitig deckungsfähig.</w:t>
      </w:r>
    </w:p>
    <w:p>
      <w:r>
        <w:t xml:space="preserve">(5) Die Ausgaben sind übertragbar.</w:t>
      </w:r>
    </w:p>
    <w:p>
      <w:r>
        <w:rPr>
          <w:color w:val="555555"/>
          <w:sz w:val="17"/>
        </w:rPr>
        <w:t xml:space="preserve">Zitiervorschlag: § 38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