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SchwbAV 1988 — Hilfen zur Beschaffung, Ausstattung und Erhaltung einer behinderungsgerechten Wohnung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Schwerbehinderte Menschen können Leistungen erhalten</w:t>
      </w:r>
    </w:p>
    <w:p>
      <w:pPr>
        <w:ind w:left="420"/>
      </w:pPr>
      <w:r>
        <w:t xml:space="preserve">1. zur Beschaffung von behinderungsgerechtem Wohnraum im Sinne des § 16 des Wohnraumförderungsgesetzes,</w:t>
      </w:r>
    </w:p>
    <w:p>
      <w:pPr>
        <w:ind w:left="420"/>
      </w:pPr>
      <w:r>
        <w:t xml:space="preserve">2. zur Anpassung von Wohnraum und seiner Ausstattung an die besonderen behinderungsbedingten Bedürfnisse und</w:t>
      </w:r>
    </w:p>
    <w:p>
      <w:pPr>
        <w:ind w:left="420"/>
      </w:pPr>
      <w:r>
        <w:t xml:space="preserve">3. zum Umzug in eine behinderungsgerechte oder erheblich verkehrsgünstiger zum Arbeitsplatz gelegene Wohnung.</w:t>
      </w:r>
    </w:p>
    <w:p>
      <w:r>
        <w:t xml:space="preserve">(2) Leistungen können als Zuschüsse, Zinszuschüsse oder Darlehen erbracht werden. Höhe, Tilgung und Verzinsung bestimmen sich nach den Umständen des Einzelfalls.</w:t>
      </w:r>
    </w:p>
    <w:p>
      <w:r>
        <w:t xml:space="preserve">(3) Leistungen von anderer Seite sind nur insoweit anzurechnen, als sie schwerbehinderten Menschen für denselben Zweck wegen der Behinderung zu erbringen sind oder erbracht werden.</w:t>
      </w:r>
    </w:p>
    <w:p>
      <w:r>
        <w:rPr>
          <w:color w:val="555555"/>
          <w:sz w:val="17"/>
        </w:rPr>
        <w:t xml:space="preserve">Zitiervorschlag: § 22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