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SchwbAV 1988 — Hilfen zur Gründung und Erhaltung einer selbständigen beruflichen Existenz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Schwerbehinderte Menschen können Darlehen oder Zinszuschüsse zur Gründung und zur Erhaltung einer selbständigen beruflichen Existenz erhalten, wenn</w:t>
      </w:r>
    </w:p>
    <w:p>
      <w:pPr>
        <w:ind w:left="420"/>
      </w:pPr>
      <w:r>
        <w:t xml:space="preserve">1. sie die erforderlichen persönlichen und fachlichen Voraussetzungen für die Ausübung der Tätigkeit erfüllen,</w:t>
      </w:r>
    </w:p>
    <w:p>
      <w:pPr>
        <w:ind w:left="420"/>
      </w:pPr>
      <w:r>
        <w:t xml:space="preserve">2. sie ihren Lebensunterhalt durch die Tätigkeit voraussichtlich auf Dauer im wesentlichen sicherstellen können und</w:t>
      </w:r>
    </w:p>
    <w:p>
      <w:pPr>
        <w:ind w:left="420"/>
      </w:pPr>
      <w:r>
        <w:t xml:space="preserve">3. die Tätigkeit unter Berücksichtigung von Lage und Entwicklung des Arbeitsmarkts zweckmäßig ist.</w:t>
      </w:r>
    </w:p>
    <w:p>
      <w:r>
        <w:t xml:space="preserve">(2) Darlehen sollen mit jährlich 10 vom Hundert getilgt werden. Von der Tilgung kann im Jahr der Auszahlung und dem darauffolgenden Kalenderjahr abgesehen werden. Satz 2 gilt, wenn Darlehen verzinslich gegeben werden, für die Verzinsung.</w:t>
      </w:r>
    </w:p>
    <w:p>
      <w:r>
        <w:t xml:space="preserve">(3) Sonstige Leistungen zur Deckung von Kosten des laufenden Betriebs können nicht erbracht werden.</w:t>
      </w:r>
    </w:p>
    <w:p>
      <w:r>
        <w:t xml:space="preserve">(4) Die §§ 17 bis 20 und die §§ 22 bis § 27 sind zugunsten von schwerbehinderten Menschen, die eine selbständige Tätigkeit ausüben oder aufzunehmen beabsichtigen, entsprechend anzuwenden.</w:t>
      </w:r>
    </w:p>
    <w:p>
      <w:r>
        <w:rPr>
          <w:color w:val="555555"/>
          <w:sz w:val="17"/>
        </w:rPr>
        <w:t xml:space="preserve">Zitiervorschlag: § 21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