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SchwarzArbG 2004 — Bußgeldvorschriften</w:t>
      </w:r>
    </w:p>
    <w:p>
      <w:r>
        <w:rPr>
          <w:color w:val="555555"/>
          <w:sz w:val="18"/>
        </w:rPr>
        <w:t xml:space="preserve">Schwarzarbeitsbekämpfungsgesetz</w:t>
      </w:r>
    </w:p>
    <w:p>
      <w:r>
        <w:rPr>
          <w:color w:val="555555"/>
          <w:sz w:val="18"/>
        </w:rPr>
        <w:t xml:space="preserve">Stand: 03.01.2026 (konsolidierte Textfassung, kein amtliches Inkrafttretensdatum)</w:t>
      </w:r>
    </w:p>
    <w:p>
      <w:r>
        <w:t xml:space="preserve">(1) Ordnungswidrig handelt, wer</w:t>
      </w:r>
    </w:p>
    <w:p>
      <w:pPr>
        <w:ind w:left="780"/>
      </w:pPr>
      <w:r>
        <w:t xml:space="preserve">a) (weggefallen)</w:t>
      </w:r>
    </w:p>
    <w:p>
      <w:pPr>
        <w:ind w:left="780"/>
      </w:pPr>
      <w:r>
        <w:t xml:space="preserve">b) (weggefallen)</w:t>
      </w:r>
    </w:p>
    <w:p>
      <w:pPr>
        <w:ind w:left="780"/>
      </w:pPr>
      <w:r>
        <w:t xml:space="preserve">c) (weggefallen)</w:t>
      </w:r>
    </w:p>
    <w:p>
      <w:pPr>
        <w:ind w:left="780"/>
      </w:pPr>
      <w:r>
        <w:t xml:space="preserve">d) der Verpflichtung zur Anzeige vom Beginn des selbstständigen Betriebes eines stehenden Gewerbes (§ 14 der Gewerbeordnung) nicht nachgekommen ist oder die erforderliche Reisegewerbekarte (§ 55 der Gewerbeordnung) nicht erworben hat oder</w:t>
      </w:r>
    </w:p>
    <w:p>
      <w:pPr>
        <w:ind w:left="780"/>
      </w:pPr>
      <w:r>
        <w:t xml:space="preserve">e) ein zulassungspflichtiges Handwerk als stehendes Gewerbe selbstständig betreibt, ohne in die Handwerksrolle eingetragen zu sein (§ 1 der Handwerksordnung)</w:t>
      </w:r>
    </w:p>
    <w:p>
      <w:pPr>
        <w:ind w:left="420"/>
      </w:pPr>
      <w:r>
        <w:t xml:space="preserve">und Dienst- oder Werkleistungen in erheblichem Umfang erbringt oder</w:t>
      </w:r>
    </w:p>
    <w:p>
      <w:pPr>
        <w:ind w:left="420"/>
      </w:pPr>
      <w:r>
        <w:t xml:space="preserve">2. Dienst- oder Werkleistungen in erheblichem Umfang ausführen lässt, indem er eine oder mehrere Personen beauftragt, von der oder denen er weiß oder fahrlässig nicht weiß, dass diese Leistungen unter vorsätzlichem Verstoß gegen eine in Nummer 1 genannte Vorschrift erbringen.</w:t>
      </w:r>
    </w:p>
    <w:p>
      <w:r>
        <w:t xml:space="preserve">(2) Ordnungswidrig handelt, wer vorsätzlich oder fahrlässig</w:t>
      </w:r>
    </w:p>
    <w:p>
      <w:pPr>
        <w:ind w:left="420"/>
      </w:pPr>
      <w:r>
        <w:t xml:space="preserve">1. entgegen § 2a Absatz 1 ein dort genanntes Dokument nicht mitführt oder nicht oder nicht rechtzeitig vorlegt,</w:t>
      </w:r>
    </w:p>
    <w:p>
      <w:pPr>
        <w:ind w:left="420"/>
      </w:pPr>
      <w:r>
        <w:t xml:space="preserve">2. entgegen § 2a Absatz 2 einen Hinweis nicht, nicht richtig, nicht vollständig, nicht in der vorgeschriebenen Weise oder nicht rechtzeitig gibt, nicht oder nicht für die vorgeschriebene Dauer aufbewahrt oder nicht oder nicht rechtzeitig vorlegt,</w:t>
      </w:r>
    </w:p>
    <w:p>
      <w:pPr>
        <w:ind w:left="420"/>
      </w:pPr>
      <w:r>
        <w:t xml:space="preserve">3. entgegen</w:t>
      </w:r>
    </w:p>
    <w:p>
      <w:pPr>
        <w:ind w:left="780"/>
      </w:pPr>
      <w:r>
        <w:t xml:space="preserve">a) § 5 Absatz 1 Satz 1 Nummer 1 oder</w:t>
      </w:r>
    </w:p>
    <w:p>
      <w:pPr>
        <w:ind w:left="780"/>
      </w:pPr>
      <w:r>
        <w:t xml:space="preserve">b) § 5 Absatz 4 Satz 1</w:t>
      </w:r>
    </w:p>
    <w:p>
      <w:pPr>
        <w:ind w:left="420"/>
      </w:pPr>
      <w:r>
        <w:t xml:space="preserve">eine Prüfung oder das Betreten eines Grundstücks oder eines Geschäftsraumes nicht duldet oder bei einer Prüfung nicht mitwirkt,</w:t>
      </w:r>
    </w:p>
    <w:p>
      <w:pPr>
        <w:ind w:left="420"/>
      </w:pPr>
      <w:r>
        <w:t xml:space="preserve">4. entgegen § 5 Absatz 1 Satz 1 Nummer 3 Buchstabe a eine dort genannte Auskunft nicht, nicht richtig, nicht vollständig, nicht in der vorgeschriebenen Weise oder nicht rechtzeitig erteilt,</w:t>
      </w:r>
    </w:p>
    <w:p>
      <w:pPr>
        <w:ind w:left="420"/>
      </w:pPr>
      <w:r>
        <w:t xml:space="preserve">5. entgegen § 5 Absatz 1 Satz 1 Nummer 3 Buchstabe b eine dort genannte Unterlage nicht, nicht richtig, nicht vollständig oder nicht rechtzeitig bereitstellt oder nicht, nicht richtig, nicht vollständig oder nicht rechtzeitig vorlegt,</w:t>
      </w:r>
    </w:p>
    <w:p>
      <w:pPr>
        <w:ind w:left="420"/>
      </w:pPr>
      <w:r>
        <w:t xml:space="preserve">6. entgegen § 5 Absatz 1 Satz 1 Nummer 4 die Einsicht in eine dort genannte Unterlage nicht, nicht richtig oder nicht rechtzeitig ermöglicht,</w:t>
      </w:r>
    </w:p>
    <w:p>
      <w:pPr>
        <w:ind w:left="420"/>
      </w:pPr>
      <w:r>
        <w:t xml:space="preserve">7. entgegen § 5 Absatz 3 Satz 1 ein dort genanntes Dokument nicht oder nicht rechtzeitig vorlegt,</w:t>
      </w:r>
    </w:p>
    <w:p>
      <w:pPr>
        <w:ind w:left="420"/>
      </w:pPr>
      <w:r>
        <w:t xml:space="preserve">8. entgegen § 5b Absatz 1 Satz 1 ihre Arbeitskraft anbietet oder</w:t>
      </w:r>
    </w:p>
    <w:p>
      <w:pPr>
        <w:ind w:left="420"/>
      </w:pPr>
      <w:r>
        <w:t xml:space="preserve">9. entgegen § 5b Absatz 1 Satz 2 das Anbieten einer Arbeitskraft nachfragt.</w:t>
      </w:r>
    </w:p>
    <w:p>
      <w:r>
        <w:t xml:space="preserve">(3) Ordnungswidrig handelt, wer als Arbeitgeber eine in § 266a Absatz 2 Nummer 1 oder 2 des Strafgesetzbuches bezeichnete Handlung leichtfertig begeht und dadurch der Einzugsstelle Beiträge des Arbeitnehmers oder der Arbeitnehmerin zur Sozialversicherung einschließlich der Arbeitsförderung oder vom Arbeitgeber zu tragende Beiträge zur Sozialversicherung einschließlich der Arbeitsförderung, unabhängig davon, ob Arbeitsentgelt gezahlt wird, leichtfertig vorenthält.</w:t>
      </w:r>
    </w:p>
    <w:p>
      <w:r>
        <w:t xml:space="preserve">(4) Ordnungswidrig handelt, wer</w:t>
      </w:r>
    </w:p>
    <w:p>
      <w:pPr>
        <w:ind w:left="420"/>
      </w:pPr>
      <w:r>
        <w:t xml:space="preserve">1. einen Beleg ausstellt, der in tatsächlicher Hinsicht nicht richtig ist und das Erbringen oder Ausführenlassen einer Dienst- oder Werkleistung oder einer Lieferung vorspiegelt, oder</w:t>
      </w:r>
    </w:p>
    <w:p>
      <w:pPr>
        <w:ind w:left="420"/>
      </w:pPr>
      <w:r>
        <w:t xml:space="preserve">2. einen in Nummer 1 genannten Beleg in den Verkehr bringt</w:t>
      </w:r>
    </w:p>
    <w:p>
      <w:r>
        <w:t xml:space="preserve">und dadurch Schwarzarbeit im Sinne des § 1 Absatz 2 oder illegale Beschäftigung im Sinne des § 1 Absatz 3 ermöglicht.</w:t>
      </w:r>
    </w:p>
    <w:p>
      <w:r>
        <w:t xml:space="preserve">(5) Die Ordnungswidrigkeit kann in den Fällen des Absatzes 4 mit einer Geldbuße bis zu hunderttausend Euro, in den Fällen des Absatzes 1 Nummer 1 Buchstabe d und e und Nummer 2 sowie in den Fällen des Absatzes 3 mit einer Geldbuße bis zu fünfzigtausend Euro, in den Fällen des Absatzes 2 Nummer 3 Buchstabe a und Nummer 9 mit einer Geldbuße bis zu dreißigtausend Euro, in den Fällen des Absatzes 2 Nummer 1 und 8 mit einer Geldbuße bis zu fünftausend Euro und in den übrigen Fällen mit einer Geldbuße bis zu tausend Euro geahndet werden.</w:t>
      </w:r>
    </w:p>
    <w:p>
      <w:r>
        <w:t xml:space="preserve">(6) Absatz 1 findet keine Anwendung für nicht nachhaltig auf Gewinn gerichtete Dienst- oder Werkleistungen, die</w:t>
      </w:r>
    </w:p>
    <w:p>
      <w:pPr>
        <w:ind w:left="420"/>
      </w:pPr>
      <w:r>
        <w:t xml:space="preserve">1. von Angehörigen im Sinne des § 15 der Abgabenordnung oder Lebenspartnern,</w:t>
      </w:r>
    </w:p>
    <w:p>
      <w:pPr>
        <w:ind w:left="420"/>
      </w:pPr>
      <w:r>
        <w:t xml:space="preserve">2. aus Gefälligkeit,</w:t>
      </w:r>
    </w:p>
    <w:p>
      <w:pPr>
        <w:ind w:left="420"/>
      </w:pPr>
      <w:r>
        <w:t xml:space="preserve">3. im Wege der Nachbarschaftshilfe oder</w:t>
      </w:r>
    </w:p>
    <w:p>
      <w:pPr>
        <w:ind w:left="420"/>
      </w:pPr>
      <w:r>
        <w:t xml:space="preserve">4. im Wege der Selbsthilfe im Sinne des § 36 Abs. 2 und 4 des Zweiten Wohnungsbaugesetzes in der Fassung der Bekanntmachung vom 19. August 1994 (BGBl. I S. 2137) oder als Selbsthilfe im Sinne des § 12 Abs. 1 Satz 2 des Wohnraumförderungsgesetzes vom 13. September 2001 (BGBl. I S. 2376), zuletzt geändert durch Artikel 7 des Gesetzes vom 29. Dezember 2003 (BGBl. I S. 3076),</w:t>
      </w:r>
    </w:p>
    <w:p>
      <w:r>
        <w:t xml:space="preserve">erbracht werden. Als nicht nachhaltig auf Gewinn gerichtet gilt insbesondere eine Tätigkeit, die gegen geringes Entgelt erbracht wird.</w:t>
      </w:r>
    </w:p>
    <w:p>
      <w:r>
        <w:t xml:space="preserve">(7) Das Bundesministerium der Finanzen wird ermächtigt, durch Rechtsverordnung mit Zustimmung des Bundesrates Vorschriften über Regelsätze für Geldbußen wegen einer Ordnungswidrigkeit nach Absatz 1 oder 2 zu erlassen.</w:t>
      </w:r>
    </w:p>
    <w:p>
      <w:r>
        <w:t xml:space="preserve">(8) Eine Geldbuße wird in den Fällen des Absatzes 3 nicht festgesetzt, wenn der Arbeitgeber spätestens im Zeitpunkt der Fälligkeit oder unverzüglich danach gegenüber der Einzugsstelle</w:t>
      </w:r>
    </w:p>
    <w:p>
      <w:pPr>
        <w:ind w:left="420"/>
      </w:pPr>
      <w:r>
        <w:t xml:space="preserve">1. schriftlich die Höhe der vorenthaltenen Beiträge mitteilt,</w:t>
      </w:r>
    </w:p>
    <w:p>
      <w:pPr>
        <w:ind w:left="420"/>
      </w:pPr>
      <w:r>
        <w:t xml:space="preserve">2. schriftlich darlegt, warum die fristgemäße Zahlung nicht möglich ist, obwohl er sich darum ernsthaft bemüht hat, und</w:t>
      </w:r>
    </w:p>
    <w:p>
      <w:pPr>
        <w:ind w:left="420"/>
      </w:pPr>
      <w:r>
        <w:t xml:space="preserve">3. die vorenthaltenen Beiträge nachträglich innerhalb der von der Einzugsstelle bestimmten angemessenen Frist entrichtet.</w:t>
      </w:r>
    </w:p>
    <w:p>
      <w:r>
        <w:rPr>
          <w:color w:val="555555"/>
          <w:sz w:val="17"/>
        </w:rPr>
        <w:t xml:space="preserve">Zitiervorschlag: § 8 SchwarzArbG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https://recht.nulegal.eu/gesetze/SchwarzArbG%202004/8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