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SchwarzArbG 2004 — Ausschluss von öffentlichen Aufträgen</w:t>
      </w:r>
    </w:p>
    <w:p>
      <w:r>
        <w:rPr>
          <w:color w:val="555555"/>
          <w:sz w:val="18"/>
        </w:rPr>
        <w:t xml:space="preserve">Schwarzarbeitsbekämpfungsgesetz</w:t>
      </w:r>
    </w:p>
    <w:p>
      <w:r>
        <w:rPr>
          <w:color w:val="555555"/>
          <w:sz w:val="18"/>
        </w:rPr>
        <w:t xml:space="preserve">Stand: 01.07.2026 (konsolidierte Textfassung, kein amtliches Inkrafttretensdatum)</w:t>
      </w:r>
    </w:p>
    <w:p>
      <w:r>
        <w:t xml:space="preserve">(1) Von der Teilnahme an einem Wettbewerb um einen Liefer-, Bau- oder Dienstleistungsauftrag der in den §§ 99 und 100 des Gesetzes gegen Wettbewerbsbeschränkungen genannten Auftraggeber sollen Bewerber bis zu einer Dauer von drei Jahren ausgeschlossen werden, die oder deren nach Satzung oder Gesetz Vertretungsberechtigte nach</w:t>
      </w:r>
    </w:p>
    <w:p>
      <w:pPr>
        <w:ind w:left="420"/>
      </w:pPr>
      <w:r>
        <w:t xml:space="preserve">1. § 8 Absatz 1 Nummer 2, Absatz 2 Nummer 3, Absatz 3 oder den §§ 9 bis 11,</w:t>
      </w:r>
    </w:p>
    <w:p>
      <w:pPr>
        <w:ind w:left="420"/>
      </w:pPr>
      <w:r>
        <w:t xml:space="preserve">2. § 404 Absatz 1 oder 2 Nummer 3 des Dritten Buches Sozialgesetzbuch,</w:t>
      </w:r>
    </w:p>
    <w:p>
      <w:pPr>
        <w:ind w:left="420"/>
      </w:pPr>
      <w:r>
        <w:t xml:space="preserve">3. den §§ 15, 15a, 16 Absatz 1 Nummer 1, 1a, 1c, 1d, 1f, 2, 7b oder 11 bis 17 des Arbeitnehmerüberlassungsgesetzes oder</w:t>
      </w:r>
    </w:p>
    <w:p>
      <w:pPr>
        <w:ind w:left="420"/>
      </w:pPr>
      <w:r>
        <w:t xml:space="preserve">4. § 266a Absatz 1 bis 4 des Strafgesetzbuches</w:t>
      </w:r>
    </w:p>
    <w:p>
      <w:r>
        <w:t xml:space="preserve">zu einer Freiheitsstrafe von mehr als drei Monaten oder einer Geldstrafe von mehr als neunzig Tagessätzen verurteilt oder mit einer Geldbuße von wenigstens zweitausendfünfhundert Euro belegt worden sind. Das Gleiche gilt auch schon vor Durchführung eines Straf- oder Bußgeldverfahrens, wenn im Einzelfall angesichts der Beweislage kein vernünftiger Zweifel an einer schwerwiegenden Verfehlung nach Satz 1 besteht. Die für die Verfolgung oder Ahndung zuständigen Behörden nach Satz 1 Nr. 1 bis 4 dürfen den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 Öffentliche Auftraggeber nach Satz 3 fordern im Rahmen ihrer Tätigkeit Auskünfte aus dem Wettbewerbsregister an oder verlangen vom Bewerber eine Erklärung, dass die Voraussetzungen für einen Ausschluss nach Satz 1 oder 2 nicht vorliegen; auch im Falle einer Erklärung des Bewerbers können öffentliche Auftraggeber Auskünfte aus dem Wettbewerbsregister jederzeit anfordern. Für den Bewerber, der den Zuschlag erhalten soll, fordert der öffentliche Auftraggeber nach Satz 3 bei Aufträgen mit einem geschätzten Auftragswert ab 50 000 Euro ohne Umsatzsteuer vor Zuschlagserteilung eine Auskunft aus dem Wettbewerbsregister an. Der Bewerber ist vor der Entscheidung über den Ausschluss zu hören.</w:t>
      </w:r>
    </w:p>
    <w:p>
      <w:r>
        <w:t xml:space="preserve">(2) Eine Verfehlung nach Absatz 1 steht einer Verletzung von Pflichten nach § 241 Abs. 2 des Bürgerlichen Gesetzbuchs gleich.</w:t>
      </w:r>
    </w:p>
    <w:p>
      <w:r>
        <w:rPr>
          <w:color w:val="555555"/>
          <w:sz w:val="17"/>
        </w:rPr>
        <w:t xml:space="preserve">Zitiervorschlag: § 21 SchwarzArbG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https://recht.nulegal.eu/gesetze/SchwarzArbG%202004/21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