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SchwarzArbG 2004 — Löschung</w:t>
      </w:r>
    </w:p>
    <w:p>
      <w:r>
        <w:rPr>
          <w:color w:val="555555"/>
          <w:sz w:val="18"/>
        </w:rPr>
        <w:t xml:space="preserve">Schwarzarbeitsbekämpfungsgesetz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Die Daten im zentralen Informationssystem für die Finanzkontrolle Schwarzarbeit und die dazugehörigen Verfahrensakten sind nach den Bestimmungen des § 489 der Strafprozessordnung, des § 49c des Gesetzes über Ordnungswidrigkeiten und des § 84 des Zehnten Buches Sozialgesetzbuch zu löschen und zu vernichten, spätestens jedoch</w:t>
      </w:r>
    </w:p>
    <w:p>
      <w:pPr>
        <w:ind w:left="420"/>
      </w:pPr>
      <w:r>
        <w:t xml:space="preserve">1. ein Jahr nach Ablauf des Kalenderjahres, in dem eine Prüfung nach § 2 ohne Einleitung eines Straf- oder Bußgeldverfahrens abgeschlossen worden ist,</w:t>
      </w:r>
    </w:p>
    <w:p>
      <w:pPr>
        <w:ind w:left="420"/>
      </w:pPr>
      <w:r>
        <w:t xml:space="preserve">2. fünf Jahre nach Ablauf des Kalenderjahres, in dem</w:t>
      </w:r>
    </w:p>
    <w:p>
      <w:pPr>
        <w:ind w:left="780"/>
      </w:pPr>
      <w:r>
        <w:t xml:space="preserve">a) ein Strafverfahren rechtskräftig abgeschlossen worden ist oder</w:t>
      </w:r>
    </w:p>
    <w:p>
      <w:pPr>
        <w:ind w:left="780"/>
      </w:pPr>
      <w:r>
        <w:t xml:space="preserve">b) ein Bußgeldverfahren rechtskräftig abgeschlossen worden ist und die Bußgeldentscheidung beglichen oder vollstreckt wurde,</w:t>
      </w:r>
    </w:p>
    <w:p>
      <w:pPr>
        <w:ind w:left="420"/>
      </w:pPr>
      <w:r>
        <w:t xml:space="preserve">3. zwei Jahre nach Ablauf des Kalenderjahres, in dem ein Strafverfahren abgeschlossen worden ist, wenn</w:t>
      </w:r>
    </w:p>
    <w:p>
      <w:pPr>
        <w:ind w:left="780"/>
      </w:pPr>
      <w:r>
        <w:t xml:space="preserve">a) die Person, über die Daten nach § 16 gespeichert wurden, von dem betreffenden Tatvorwurf rechtskräftig freigesprochen worden ist,</w:t>
      </w:r>
    </w:p>
    <w:p>
      <w:pPr>
        <w:ind w:left="780"/>
      </w:pPr>
      <w:r>
        <w:t xml:space="preserve">b) die Eröffnung des Hauptverfahrens unanfechtbar abgelehnt worden ist oder</w:t>
      </w:r>
    </w:p>
    <w:p>
      <w:pPr>
        <w:ind w:left="780"/>
      </w:pPr>
      <w:r>
        <w:t xml:space="preserve">c) das Verfahren nicht nur vorläufig eingestellt worden ist und keine Anhaltspunkte dafür vorhanden sind, dass die Tat als Ordnungswidrigkeit verfolgt werden kann, oder</w:t>
      </w:r>
    </w:p>
    <w:p>
      <w:pPr>
        <w:ind w:left="420"/>
      </w:pPr>
      <w:r>
        <w:t xml:space="preserve">4. ein Jahr nach Ablauf des Kalenderjahres, in dem</w:t>
      </w:r>
    </w:p>
    <w:p>
      <w:pPr>
        <w:ind w:left="780"/>
      </w:pPr>
      <w:r>
        <w:t xml:space="preserve">a) der Hinweis durch einen Hinweisgeber übermittelt worden ist oder</w:t>
      </w:r>
    </w:p>
    <w:p>
      <w:pPr>
        <w:ind w:left="780"/>
      </w:pPr>
      <w:r>
        <w:t xml:space="preserve">b) der Risikohinweis nach § 26 Absatz 5 Satz 4 übermittelt worden ist.</w:t>
      </w:r>
    </w:p>
    <w:p>
      <w:r>
        <w:t xml:space="preserve">Die Löschfrist für Hinweise und Risikohinweise nach Satz 1 Nummer 4 Buchstabe a und b gilt, sofern diesen Hinweisen keine Prüfung nach § 2 oder ein Ermittlungsverfahren gefolgt ist. Die Daten nach Satz 1 Nummer 4 Buchstabe a sind unverzüglich zu löschen, sofern sie für die weitere Aufgabenerfüllung nicht mehr erforderlich sind.</w:t>
      </w:r>
    </w:p>
    <w:p>
      <w:r>
        <w:rPr>
          <w:color w:val="555555"/>
          <w:sz w:val="17"/>
        </w:rPr>
        <w:t xml:space="preserve">Zitiervorschlag: § 19 SchwarzArbG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https://recht.nulegal.eu/gesetze/SchwarzArbG%202004/19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