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SchwarzArbG 2004 — Auskunft an die betroffene Person</w:t>
      </w:r>
    </w:p>
    <w:p>
      <w:r>
        <w:rPr>
          <w:color w:val="555555"/>
          <w:sz w:val="18"/>
        </w:rPr>
        <w:t xml:space="preserve">Schwarzarbeitsbekämpfungsgesetz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Auskunft an die betroffene Person gilt § 83 des Zehnten Buches Sozialgesetzbuch. Die Auskunft bedarf des Einvernehmens der zuständigen Staatsanwaltschaft, wenn sie Daten aus einem Verfahren betrifft, das zu einem Strafverfahren geführt hat.</w:t>
      </w:r>
    </w:p>
    <w:p>
      <w:r>
        <w:rPr>
          <w:color w:val="555555"/>
          <w:sz w:val="17"/>
        </w:rPr>
        <w:t xml:space="preserve">Zitiervorschlag: § 18 SchwarzArbG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https://recht.nulegal.eu/gesetze/SchwarzArbG%202004/18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