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SchwarmfdPV — (zu § 17 Absatz 1) Ausfüllhinweise für den Fragebogen gemäß § 17 Absatz 1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12.09.2026 (konsolidierte Textfassung, kein amtliches Inkrafttretensdatum)</w:t>
      </w:r>
    </w:p>
    <w:p>
      <w:r>
        <w:t xml:space="preserve">(Fundstelle: BGBl. I 2022, 856 - 857; bzgl. der einzelnen Änderungen vgl. Fußnote)</w:t>
      </w:r>
    </w:p>
    <w:p>
      <w:r>
        <w:t xml:space="preserve">Im nachfolgend aufgeführten Fragebogen sind folgende Abkürzungen für die Prüfungsfeststellungen in der Spalte „Feststellung“ zu verwenden:</w:t>
      </w:r>
    </w:p>
    <w:p>
      <w:pPr>
        <w:ind w:left="420"/>
      </w:pPr>
      <w:r>
        <w:t xml:space="preserve">–: Die Vorschrift ist nicht einschlägig.</w:t>
      </w:r>
    </w:p>
    <w:p>
      <w:pPr>
        <w:ind w:left="420"/>
      </w:pPr>
      <w:r>
        <w:t xml:space="preserve">0: Die rechtlichen Vorgaben wurden im gesamten Berichtszeitraum eingehalten.</w:t>
      </w:r>
    </w:p>
    <w:p>
      <w:pPr>
        <w:ind w:left="420"/>
      </w:pPr>
      <w:r>
        <w:t xml:space="preserve">1: Bei der Einhaltung der rechtlichen Vorgaben ist ein Mangel aufgetreten, der bis zum Ende des Prüfungszeitraums beseitigt wurde.</w:t>
      </w:r>
    </w:p>
    <w:p>
      <w:pPr>
        <w:ind w:left="420"/>
      </w:pPr>
      <w:r>
        <w:t xml:space="preserve">2: Bei der Einhaltung der rechtlichen Vorgaben ist ein Mangel aufgetreten, der nicht beseitigt werden kann.</w:t>
      </w:r>
    </w:p>
    <w:p>
      <w:pPr>
        <w:ind w:left="420"/>
      </w:pPr>
      <w:r>
        <w:t xml:space="preserve">3: Bei der Einhaltung der rechtlichen Vorgaben ist ein behebbarer Mangel aufgetreten, der bis zum Ende des Prüfungszeitraums nicht beseitigt wurde.</w:t>
      </w:r>
    </w:p>
    <w:p>
      <w:pPr>
        <w:ind w:left="420"/>
      </w:pPr>
      <w:r>
        <w:t xml:space="preserve">4: Bei der Überprüfung der Einhaltung der rechtlichen Vorgaben wurden sonstige Erkenntnisse gewonnen, die sich auf die fehlende oder nicht vollständige Berücksichtigung der durch die Europäische Wertpapier- und Marktaufsichtsbehörde (ESMA) vorgenommenen und veröffentlichten Auslegung beziehen, ohne dass zugleich ein Mangel bei der Einhaltung der rechtlichen Vorgaben aufgetreten ist.</w:t>
      </w:r>
    </w:p>
    <w:p>
      <w:r>
        <w:t xml:space="preserve">Tritt ein Mangel auf, der bereits bei der letzten Prüfung vorgelegen hat, ist dieser mit dem Symbol * zu kennzeichnen.</w:t>
      </w:r>
    </w:p>
    <w:p>
      <w:r>
        <w:t xml:space="preserve">Fragebogen gemäß § 17 Absatz 1 SchwarmfdPV</w:t>
      </w:r>
    </w:p>
    <w:p>
      <w:r>
        <w:t xml:space="preserve">Schwarmfinanzierungsdienstleister:</w:t>
      </w:r>
    </w:p>
    <w:p>
      <w:r>
        <w:t xml:space="preserve">Berichtszeitraum:</w:t>
      </w:r>
    </w:p>
    <w:p>
      <w:r>
        <w:t xml:space="preserve">Prüfungszeitraum:</w:t>
      </w:r>
    </w:p>
    <w:p>
      <w:r>
        <w:t xml:space="preserve">Prüfungsstichtag:</w:t>
      </w:r>
    </w:p>
    <w:p>
      <w:r>
        <w:t xml:space="preserve">Prüfungsfeststellungen:</w:t>
      </w:r>
    </w:p>
    <w:p>
      <w:r>
        <w:rPr>
          <w:rFonts w:ascii="Courier New" w:hAnsi="Courier New"/>
          <w:sz w:val="17"/>
        </w:rPr>
        <w:t xml:space="preserve">Nr.    Vorschrift    Prüfungsgebiet    Feststellung    Fundstelle (Prüfungsbericht)</w:t>
      </w:r>
    </w:p>
    <w:p>
      <w:r>
        <w:rPr>
          <w:rFonts w:ascii="Courier New" w:hAnsi="Courier New"/>
          <w:sz w:val="17"/>
        </w:rPr>
        <w:t xml:space="preserve">Pflichten nach der Verordnung (EU) 2020/1503</w:t>
      </w:r>
    </w:p>
    <w:p>
      <w:r>
        <w:rPr>
          <w:rFonts w:ascii="Courier New" w:hAnsi="Courier New"/>
          <w:sz w:val="17"/>
        </w:rPr>
        <w:t xml:space="preserve">1    Artikel 3Abs. 1    Niederlassung in Union        </w:t>
      </w:r>
    </w:p>
    <w:p>
      <w:r>
        <w:rPr>
          <w:rFonts w:ascii="Courier New" w:hAnsi="Courier New"/>
          <w:sz w:val="17"/>
        </w:rPr>
        <w:t xml:space="preserve">2    Artikel 3Abs. 2    Ehrliches, redliches und professionelles Erbringen der Schwarmfinanzierungsdienstleistungen im bestmöglichen Kundeninteresse        </w:t>
      </w:r>
    </w:p>
    <w:p>
      <w:r>
        <w:rPr>
          <w:rFonts w:ascii="Courier New" w:hAnsi="Courier New"/>
          <w:sz w:val="17"/>
        </w:rPr>
        <w:t xml:space="preserve">3    Artikel 3Abs. 3    Verbot von Vorteilen für die Weiterleitung von Kundenaufträgen zu bestimmten Schwarmfinanzierungsangeboten        </w:t>
      </w:r>
    </w:p>
    <w:p>
      <w:r>
        <w:rPr>
          <w:rFonts w:ascii="Courier New" w:hAnsi="Courier New"/>
          <w:sz w:val="17"/>
        </w:rPr>
        <w:t xml:space="preserve">4    Artikel 3Abs. 4 und 5    Vorschläge für bestimmte Schwarmfinanzierungsprojekte        </w:t>
      </w:r>
    </w:p>
    <w:p>
      <w:r>
        <w:rPr>
          <w:rFonts w:ascii="Courier New" w:hAnsi="Courier New"/>
          <w:sz w:val="17"/>
        </w:rPr>
        <w:t xml:space="preserve">5    Artikel 3Abs. 6    Einsatz von Zweckgesellschaften        </w:t>
      </w:r>
    </w:p>
    <w:p>
      <w:r>
        <w:rPr>
          <w:rFonts w:ascii="Courier New" w:hAnsi="Courier New"/>
          <w:sz w:val="17"/>
        </w:rPr>
        <w:t xml:space="preserve">6    Artikel 4    Geschäftsleitung        </w:t>
      </w:r>
    </w:p>
    <w:p>
      <w:r>
        <w:rPr>
          <w:rFonts w:ascii="Courier New" w:hAnsi="Courier New"/>
          <w:sz w:val="17"/>
        </w:rPr>
        <w:t xml:space="preserve">7    Artikel 5    Sorgfältige Prüfung        </w:t>
      </w:r>
    </w:p>
    <w:p>
      <w:r>
        <w:rPr>
          <w:rFonts w:ascii="Courier New" w:hAnsi="Courier New"/>
          <w:sz w:val="17"/>
        </w:rPr>
        <w:t xml:space="preserve">8    Artikel 6    Kreditportfolioverwaltung        </w:t>
      </w:r>
    </w:p>
    <w:p>
      <w:r>
        <w:rPr>
          <w:rFonts w:ascii="Courier New" w:hAnsi="Courier New"/>
          <w:sz w:val="17"/>
        </w:rPr>
        <w:t xml:space="preserve">9    Artikel 7    Beschwerdebearbeitung        </w:t>
      </w:r>
    </w:p>
    <w:p>
      <w:r>
        <w:rPr>
          <w:rFonts w:ascii="Courier New" w:hAnsi="Courier New"/>
          <w:sz w:val="17"/>
        </w:rPr>
        <w:t xml:space="preserve">10    Artikel 8    Interessenkonflikte        </w:t>
      </w:r>
    </w:p>
    <w:p>
      <w:r>
        <w:rPr>
          <w:rFonts w:ascii="Courier New" w:hAnsi="Courier New"/>
          <w:sz w:val="17"/>
        </w:rPr>
        <w:t xml:space="preserve">11    Artikel 9    Auslagerung        </w:t>
      </w:r>
    </w:p>
    <w:p>
      <w:r>
        <w:rPr>
          <w:rFonts w:ascii="Courier New" w:hAnsi="Courier New"/>
          <w:sz w:val="17"/>
        </w:rPr>
        <w:t xml:space="preserve">12    Artikel 10    Erbringung von Dienstleistungen zur Verwahrung des Kundenvermögens und von Zahlungsdiensten        </w:t>
      </w:r>
    </w:p>
    <w:p>
      <w:r>
        <w:rPr>
          <w:rFonts w:ascii="Courier New" w:hAnsi="Courier New"/>
          <w:sz w:val="17"/>
        </w:rPr>
        <w:t xml:space="preserve">13    Artikel 11    Aufsichtliche Kapitalanforderungen        </w:t>
      </w:r>
    </w:p>
    <w:p>
      <w:r>
        <w:rPr>
          <w:rFonts w:ascii="Courier New" w:hAnsi="Courier New"/>
          <w:sz w:val="17"/>
        </w:rPr>
        <w:t xml:space="preserve">14    Artikel 15Abs. 3    Anzeige wesentlicher Änderungen        </w:t>
      </w:r>
    </w:p>
    <w:p>
      <w:r>
        <w:rPr>
          <w:rFonts w:ascii="Courier New" w:hAnsi="Courier New"/>
          <w:sz w:val="17"/>
        </w:rPr>
        <w:t xml:space="preserve">15    Artikel 16Abs. 1 und 3    Berichterstattung        </w:t>
      </w:r>
    </w:p>
    <w:p>
      <w:r>
        <w:rPr>
          <w:rFonts w:ascii="Courier New" w:hAnsi="Courier New"/>
          <w:sz w:val="17"/>
        </w:rPr>
        <w:t xml:space="preserve">16    Artikel 18Abs. 1 und 4    Grenzüberschreitende Dienstleistungserbringung        </w:t>
      </w:r>
    </w:p>
    <w:p>
      <w:r>
        <w:rPr>
          <w:rFonts w:ascii="Courier New" w:hAnsi="Courier New"/>
          <w:sz w:val="17"/>
        </w:rPr>
        <w:t xml:space="preserve">17    Artikel 19    Kundeninformationen        </w:t>
      </w:r>
    </w:p>
    <w:p>
      <w:r>
        <w:rPr>
          <w:rFonts w:ascii="Courier New" w:hAnsi="Courier New"/>
          <w:sz w:val="17"/>
        </w:rPr>
        <w:t xml:space="preserve">18    Artikel 20    Ausfallquoten        </w:t>
      </w:r>
    </w:p>
    <w:p>
      <w:r>
        <w:rPr>
          <w:rFonts w:ascii="Courier New" w:hAnsi="Courier New"/>
          <w:sz w:val="17"/>
        </w:rPr>
        <w:t xml:space="preserve">19    Artikel 21    Geeignetheit        </w:t>
      </w:r>
    </w:p>
    <w:p>
      <w:r>
        <w:rPr>
          <w:rFonts w:ascii="Courier New" w:hAnsi="Courier New"/>
          <w:sz w:val="17"/>
        </w:rPr>
        <w:t xml:space="preserve">20    Artikel 22Abs. 2 bis 7    Vorvertragliche Bedenkzeit        </w:t>
      </w:r>
    </w:p>
    <w:p>
      <w:r>
        <w:rPr>
          <w:rFonts w:ascii="Courier New" w:hAnsi="Courier New"/>
          <w:sz w:val="17"/>
        </w:rPr>
        <w:t xml:space="preserve">21    Artikel 23Abs. 1 bis 4,6 bis 9 und11 bis 16    Anlagebasisinformationsblatt        </w:t>
      </w:r>
    </w:p>
    <w:p>
      <w:r>
        <w:rPr>
          <w:rFonts w:ascii="Courier New" w:hAnsi="Courier New"/>
          <w:sz w:val="17"/>
        </w:rPr>
        <w:t xml:space="preserve">22    Artikel 24Abs. 1 bis 4und 6 bis 8    Anlagebasisinformationsblatt auf Ebene der Plattform        </w:t>
      </w:r>
    </w:p>
    <w:p>
      <w:r>
        <w:rPr>
          <w:rFonts w:ascii="Courier New" w:hAnsi="Courier New"/>
          <w:sz w:val="17"/>
        </w:rPr>
        <w:t xml:space="preserve">23    Artikel 25    Forum        </w:t>
      </w:r>
    </w:p>
    <w:p>
      <w:r>
        <w:rPr>
          <w:rFonts w:ascii="Courier New" w:hAnsi="Courier New"/>
          <w:sz w:val="17"/>
        </w:rPr>
        <w:t xml:space="preserve">24    Artikel 26    Aufzeichnungen        </w:t>
      </w:r>
    </w:p>
    <w:p>
      <w:r>
        <w:rPr>
          <w:rFonts w:ascii="Courier New" w:hAnsi="Courier New"/>
          <w:sz w:val="17"/>
        </w:rPr>
        <w:t xml:space="preserve">25    Artikel 27Abs. 1 bis 3    Marketingmitteilungen        </w:t>
      </w:r>
    </w:p>
    <w:p>
      <w:r>
        <w:rPr>
          <w:rFonts w:ascii="Courier New" w:hAnsi="Courier New"/>
          <w:sz w:val="17"/>
        </w:rPr>
        <w:t xml:space="preserve">26    Anhang I    Inhalte Anlagebasisinformationsblatt        </w:t>
      </w:r>
    </w:p>
    <w:p>
      <w:r>
        <w:rPr>
          <w:rFonts w:ascii="Courier New" w:hAnsi="Courier New"/>
          <w:sz w:val="17"/>
        </w:rPr>
        <w:t xml:space="preserve">27    Anhang II    Kundeneinstufung        </w:t>
      </w:r>
    </w:p>
    <w:p>
      <w:r>
        <w:rPr>
          <w:rFonts w:ascii="Courier New" w:hAnsi="Courier New"/>
          <w:sz w:val="17"/>
        </w:rPr>
        <w:t xml:space="preserve">Grenzüberschreitende Dienstleistung</w:t>
      </w:r>
    </w:p>
    <w:p>
      <w:r>
        <w:rPr>
          <w:rFonts w:ascii="Courier New" w:hAnsi="Courier New"/>
          <w:sz w:val="17"/>
        </w:rPr>
        <w:t xml:space="preserve">28    Wurden im Berichtszeitraum grenzüberschreitende Schwarmfinanzierungsdienstleistungen erbracht?    ja/nein:    </w:t>
      </w:r>
    </w:p>
    <w:p>
      <w:r>
        <w:rPr>
          <w:rFonts w:ascii="Courier New" w:hAnsi="Courier New"/>
          <w:sz w:val="17"/>
        </w:rPr>
        <w:t xml:space="preserve">Sonstiges</w:t>
      </w:r>
    </w:p>
    <w:p>
      <w:r>
        <w:rPr>
          <w:rFonts w:ascii="Courier New" w:hAnsi="Courier New"/>
          <w:sz w:val="17"/>
        </w:rPr>
        <w:t xml:space="preserve">29    § 32f Abs. 5WpHG    Durch die Bundesanstalt festgelegte Prüfungsschwerpunkte    ja/nein:    </w:t>
      </w:r>
    </w:p>
    <w:p>
      <w:r>
        <w:rPr>
          <w:rFonts w:ascii="Courier New" w:hAnsi="Courier New"/>
          <w:sz w:val="17"/>
        </w:rPr>
        <w:t xml:space="preserve">    Erläuterungen zu Nummer 29:</w:t>
      </w:r>
    </w:p>
    <w:p>
      <w:r>
        <w:rPr>
          <w:rFonts w:ascii="Courier New" w:hAnsi="Courier New"/>
          <w:sz w:val="17"/>
        </w:rPr>
        <w:t xml:space="preserve">30    Weitere Feststellungen, die für die Beurteilung der Ordnungsmäßigkeit der erbrachten Schwarmfinanzierungsdienstleistungen von Bedeutung und nicht durch die Nummern 1 bis 29 abgedeckt sind    ja/nein:    </w:t>
      </w:r>
    </w:p>
    <w:p>
      <w:r>
        <w:rPr>
          <w:rFonts w:ascii="Courier New" w:hAnsi="Courier New"/>
          <w:sz w:val="17"/>
        </w:rPr>
        <w:t xml:space="preserve">    Erläuterungen zu Nummer 30:</w:t>
      </w:r>
    </w:p>
    <w:p>
      <w:r>
        <w:rPr>
          <w:rFonts w:ascii="Courier New" w:hAnsi="Courier New"/>
          <w:sz w:val="17"/>
        </w:rPr>
        <w:t xml:space="preserve">31    Kurze Beschreibung der identifizierten Mängel und der Vorschriften, gegen die ein Verstoß vorliegt, insbesondere unter Berücksichtigung der seitens der Bundesanstalt für Finanzdienstleistungsaufsicht und der ESMA vorgenommenen und veröffentlichten Normauslegung:</w:t>
      </w:r>
    </w:p>
    <w:p>
      <w:r>
        <w:rPr>
          <w:rFonts w:ascii="Courier New" w:hAnsi="Courier New"/>
          <w:sz w:val="17"/>
        </w:rPr>
        <w:t xml:space="preserve">32    Artikel 5 bis 14, 16 bis 19, 23 bis 25, 28 bis 30 und 45 Absatz 3 der Verordnung (EU) 2022/2554            </w:t>
      </w:r>
    </w:p>
    <w:p>
      <w:r>
        <w:rPr>
          <w:rFonts w:ascii="Courier New" w:hAnsi="Courier New"/>
          <w:sz w:val="17"/>
        </w:rPr>
        <w:t xml:space="preserve">    Erläuterungen zu Nummer 32:</w:t>
      </w:r>
    </w:p>
    <w:p>
      <w:r>
        <w:rPr>
          <w:color w:val="555555"/>
          <w:sz w:val="17"/>
        </w:rPr>
        <w:t xml:space="preserve">Zitiervorschlag: Anlage SchwarmfdPV</w:t>
      </w:r>
    </w:p>
    <w:p>
      <w:r>
        <w:rPr>
          <w:color w:val="555555"/>
          <w:sz w:val="17"/>
        </w:rPr>
        <w:t xml:space="preserve">Quelle: Bundesamt für Justiz, abgerufen 12.09.2026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SchwarmfdPV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