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SchwarmfdPV — Berichtsentwurf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Falls die Bundesanstalt an der Prüfung nach § 32f Absatz 5 Satz 4 des Wertpapierhandelsgesetzes teilnimmt, hat der Prüfer der Bundesanstalt auf deren Verlangen den Berichtsentwurf vor der Fertigstellung zu übermitteln.</w:t>
      </w:r>
    </w:p>
    <w:p>
      <w:r>
        <w:t xml:space="preserve">(2) Kündigt die Bundesanstalt ihre Teilnahme an einer Schlussbesprechung an, so hat der Prüfer der Bundesanstalt auf deren Verlangen den entsprechenden Berichtsentwurf rechtzeitig vor der Besprechung zu übersenden.</w:t>
      </w:r>
    </w:p>
    <w:p>
      <w:r>
        <w:rPr>
          <w:color w:val="555555"/>
          <w:sz w:val="17"/>
        </w:rPr>
        <w:t xml:space="preserve">Zitiervorschlag: § 19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