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SchwSalmoV</w:t>
      </w:r>
    </w:p>
    <w:p>
      <w:r>
        <w:rPr>
          <w:color w:val="555555"/>
          <w:sz w:val="18"/>
        </w:rPr>
        <w:t xml:space="preserve">Schweine-Salmonellen-Verordnung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79a Abs. 2 Nr. 1 in Verbindung mit § 17 Abs. 1 Nr. 1, 3, 4, 7, 13, 14, 17 und 19, des § 79a Abs. 2 Nr. 2 in Verbindung mit § 17b Abs. 1 Nr. 4 Buchstabe b, c, d und f, des § 79a Abs. 2 Nr. 4 in Verbindung mit § 18, § 20 Abs. 1 Nr. 2, § 23, § 27 und § 29 und des § 79a Abs. 2 Nr. 5 in Verbindung mit § 73a Satz 1 und 2 Nr. 1, 4 und 5, jeweils auch in Verbindung mit § 79a Abs. 1 Satz 1, des Tierseuchengesetzes in der Fassung der Bekanntmachung vom 22. Juni 2004 (BGBl. I S. 1260), von denen § 79a Abs. 1 Satz 1 durch Artikel 2 § 3 Abs. 5 des Gesetzes vom 1. September 2005 (BGBl. I S. 2618) geändert worden ist, verordnet das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SchwSalmoV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https://recht.nulegal.eu/gesetze/SchwSalmoV/eingangsformel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