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SchwSalmoV — Informationspflicht</w:t>
      </w:r>
    </w:p>
    <w:p>
      <w:r>
        <w:rPr>
          <w:color w:val="555555"/>
          <w:sz w:val="18"/>
        </w:rPr>
        <w:t xml:space="preserve">Schweine-Salmonellen-Verordnung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Anforderung der zuständigen Behörde hat der Untersuchungspflichtige</w:t>
      </w:r>
    </w:p>
    <w:p>
      <w:pPr>
        <w:ind w:left="420"/>
      </w:pPr>
      <w:r>
        <w:t xml:space="preserve">1. die Untersuchungsergebnisse nach § 3 und die Feststellung des Salmonellenantikörperstatus nach § 4 Abs. 2 unter Angabe seines Namens, seiner Adresse, des Standortes und der Registriernummer seines Betriebs, der Kennzeichnung der beprobten Schweine nach § 19b der Viehverkehrsverordnung sowie der Anschrift des betreuenden Tierarztes mitzuteilen und</w:t>
      </w:r>
    </w:p>
    <w:p>
      <w:pPr>
        <w:ind w:left="420"/>
      </w:pPr>
      <w:r>
        <w:t xml:space="preserve">2. die Aufzeichnungen nach § 6 Abs. 1 Satz 2 vorzulegen.</w:t>
      </w:r>
    </w:p>
    <w:p>
      <w:r>
        <w:t xml:space="preserve">(2) Der Untersuchungspflichtige hat der zuständigen Behörde innerhalb von zwei Wochen nach der Aufzeichnung des Vom-Hundert-Anteils der positiven Salmonellenantikörperbefunde nach § 4 Abs. 1 Satz 1 Nr. 2 jede Feststellung des Vom-Hundert-Anteils von mehr als 40 schriftlich oder elektronisch mitzuteilen.</w:t>
      </w:r>
    </w:p>
    <w:p>
      <w:r>
        <w:rPr>
          <w:color w:val="555555"/>
          <w:sz w:val="17"/>
        </w:rPr>
        <w:t xml:space="preserve">Zitiervorschlag: § 7 SchwSalmoV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https://recht.nulegal.eu/gesetze/SchwSalmoV/7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