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SchwSalmoV — Aufzeichnungen und Kategorisierung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Untersuchungspflichtige hat, im Falle des § 2 Abs. 1 Satz 2 geordnet nach Betriebsabteilungen,</w:t>
      </w:r>
    </w:p>
    <w:p>
      <w:pPr>
        <w:ind w:left="420"/>
      </w:pPr>
      <w:r>
        <w:t xml:space="preserve">1. die Ergebnisse der Untersuchungen nach § 2 Abs. 1 und 2 zu sammeln und</w:t>
      </w:r>
    </w:p>
    <w:p>
      <w:pPr>
        <w:ind w:left="420"/>
      </w:pPr>
      <w:r>
        <w:t xml:space="preserve">2. den Vom-Hundert-Anteil der positiven Salmonellenantikörperbefunde anhand einer für jedes Kalendervierteljahr zu erstellenden Auswertung der nach § 3 mitgeteilten Ergebnisse der Untersuchungen der letzten zwölf Monate (gleitendes Jahresmittel) oder für die jeweilige Rein-Raus-Mastgruppe unverzüglich festzustellen und aufzuzeichnen.</w:t>
      </w:r>
    </w:p>
    <w:p>
      <w:r>
        <w:t xml:space="preserve">Die Ergebnisse nach Satz 1 Nr. 1 und die Aufzeichnungen nach Satz 1 Nr. 2 sind vom Untersuchungspflichtigen mindestens drei Jahre lang aufzubewahren. Die Aufbewahrungsfrist beginnt im Falle des Satzes 1 Nr. 1 mit dem Zugang des jeweiligen Ergebnisses der Untersuchung und im Falle des Satzes 1 Nr. 2 mit Ablauf des Tages, an dem die jeweilige Feststellung des Vom-Hundert-Anteils der Salmonellenantikörperbefunde aufgezeichnet worden ist.</w:t>
      </w:r>
    </w:p>
    <w:p>
      <w:r>
        <w:t xml:space="preserve">(2) Der Untersuchungspflichtige hat den Salmonellenantikörperstatus des Betriebs oder der Betriebsabteilung nach Maßgabe der Anlage 2 unverzüglich nach der Aufzeichnung des Vom-Hundert-Anteils der positiven Salmonellenantikörperbefunde nach Absatz 1 Satz 1 Nr. 2 festzustellen. Abweichend von Satz 1 kann die Feststellung des Salmonellenantikörperstatus bei der ersten Aufstallung oder einer vollständigen Wiederaufstallung eines Endmastbetriebs oder einer Betriebsabteilung oder bei einer Rein-Raus-Mastgruppe vor der Abgabe zur Schlachtung erfolgen, soweit die Schweine zuvor nach dem Stichprobenschlüssel der Anlage 1 untersucht worden sind.</w:t>
      </w:r>
    </w:p>
    <w:p>
      <w:r>
        <w:t xml:space="preserve">(3) Die erste Feststellung des Vom-Hundert-Anteils nach Absatz 1 Satz 1 Nr. 2 oder Absatz 2 erfolgt zwölf Monate nach dem 24. März 2007. Soweit der Untersuchungspflichtige Maßnahmen vor dem Inkrafttreten dieser Verordnung ergriffen hat, die den Absätzen 1 und 2 sowie den §§ 2 und 3 entsprechen, kann die Feststellung des Vom-Hundert-Anteils bereits zu einem früheren Zeitpunkt erfolgen.</w:t>
      </w:r>
    </w:p>
    <w:p>
      <w:r>
        <w:rPr>
          <w:color w:val="555555"/>
          <w:sz w:val="17"/>
        </w:rPr>
        <w:t xml:space="preserve">Zitiervorschlag: § 4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