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SchwSalmoV — Inkrafttreten</w:t>
      </w:r>
    </w:p>
    <w:p>
      <w:r>
        <w:rPr>
          <w:color w:val="555555"/>
          <w:sz w:val="18"/>
        </w:rPr>
        <w:t xml:space="preserve">Schweine-Salmonellen-Verordnung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tritt am Tage nach der Verkündung in Kraft.</w:t>
      </w:r>
    </w:p>
    <w:p>
      <w:r>
        <w:rPr>
          <w:color w:val="555555"/>
          <w:sz w:val="17"/>
        </w:rPr>
        <w:t xml:space="preserve">Zitiervorschlag: § 11 SchwSalmoV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https://recht.nulegal.eu/gesetze/SchwSalmoV/11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