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SchwPestMonV</w:t>
      </w:r>
    </w:p>
    <w:p>
      <w:r>
        <w:rPr>
          <w:color w:val="555555"/>
          <w:sz w:val="18"/>
        </w:rPr>
        <w:t xml:space="preserve">Schweinepest-Monitoring-Verordnung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10 Absatz 2 des Tiergesundheitsgesetzes vom 22. Mai 2013 (BGBl. I S. 1324) verordnet das Bundesministerium für Ernährung und Landwirtschaft:</w:t>
      </w:r>
    </w:p>
    <w:p>
      <w:r>
        <w:rPr>
          <w:color w:val="555555"/>
          <w:sz w:val="17"/>
        </w:rPr>
        <w:t xml:space="preserve">Zitiervorschlag: Eingangsformel SchwPestMonV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https://recht.nulegal.eu/gesetze/SchwPestMonV/eingangsformel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