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SchwPestMonV — Inkrafttreten</w:t>
      </w:r>
    </w:p>
    <w:p>
      <w:r>
        <w:rPr>
          <w:color w:val="555555"/>
          <w:sz w:val="18"/>
        </w:rPr>
        <w:t xml:space="preserve">Schweinepest-Monitoring-Verordnung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 SchwPestMonV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https://recht.nulegal.eu/gesetze/SchwPestMonV/5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