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SchwPestMonV — Weitergehende Maßnahmen</w:t>
      </w:r>
    </w:p>
    <w:p>
      <w:r>
        <w:rPr>
          <w:color w:val="555555"/>
          <w:sz w:val="18"/>
        </w:rPr>
        <w:t xml:space="preserve">Schweinepest-Monitoring-Verordnung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steht der Befugnis der zuständigen Behörden, nach § 38 Absatz 11 in Verbindung mit § 10 des Tiergesundheitsgesetzes weitergehende Anordnungen zu Umfang und Methodik der Untersuchungen zur Erkennung der Afrikanischen Schweinepest oder Klassischen Schweinepest zu treffen, nicht entgegen.</w:t>
      </w:r>
    </w:p>
    <w:p>
      <w:r>
        <w:rPr>
          <w:color w:val="555555"/>
          <w:sz w:val="17"/>
        </w:rPr>
        <w:t xml:space="preserve">Zitiervorschlag: § 4 SchwPestMonV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https://recht.nulegal.eu/gesetze/SchwPestMonV/4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