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SchwPestMonV — Mitteilungen der Länder</w:t>
      </w:r>
    </w:p>
    <w:p>
      <w:r>
        <w:rPr>
          <w:color w:val="555555"/>
          <w:sz w:val="18"/>
        </w:rPr>
        <w:t xml:space="preserve">Schweinepest-Monitoring-Verordnung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übermitteln dem Bundesministerium für Ernährung und Landwirtschaft jährlich bis zum 30. März des Folgejahres die Anzahl der im Rahmen des jeweiligen Monitorings untersuchten Tiere für das zurückliegende Kalenderjahr.</w:t>
      </w:r>
    </w:p>
    <w:p>
      <w:r>
        <w:rPr>
          <w:color w:val="555555"/>
          <w:sz w:val="17"/>
        </w:rPr>
        <w:t xml:space="preserve">Zitiervorschlag: § 3 SchwPestMonV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https://recht.nulegal.eu/gesetze/SchwPestMonV/3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