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SchwPestMonV — Duldungs- und Mitwirkungspflichten</w:t>
      </w:r>
    </w:p>
    <w:p>
      <w:r>
        <w:rPr>
          <w:color w:val="555555"/>
          <w:sz w:val="18"/>
        </w:rPr>
        <w:t xml:space="preserve">Schweinepest-Monitoring-Verordnung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Jagdausübungsberechtigte haben nach näherer Anweisung der zuständigen Behörde</w:t>
      </w:r>
    </w:p>
    <w:p>
      <w:pPr>
        <w:ind w:left="420"/>
      </w:pPr>
      <w:r>
        <w:t xml:space="preserve">1. Proben</w:t>
      </w:r>
    </w:p>
    <w:p>
      <w:pPr>
        <w:ind w:left="780"/>
      </w:pPr>
      <w:r>
        <w:t xml:space="preserve">a) zur Untersuchung auf Klassische und Afrikanische Schweinepest von im Rahmen der Ausführung der Jagd</w:t>
      </w:r>
    </w:p>
    <w:p>
      <w:pPr>
        <w:ind w:left="1140"/>
      </w:pPr>
      <w:r>
        <w:t xml:space="preserve">aa) verendet aufgefundenen Wildschweinen und</w:t>
      </w:r>
    </w:p>
    <w:p>
      <w:pPr>
        <w:ind w:left="1140"/>
      </w:pPr>
      <w:r>
        <w:t xml:space="preserve">bb) erlegten Wildschweinen, die klinische oder mit bloßem Auge erkennbare pathologisch-anatomische Auffälligkeiten zeigen,</w:t>
      </w:r>
    </w:p>
    <w:p>
      <w:pPr>
        <w:ind w:left="780"/>
      </w:pPr>
      <w:r>
        <w:t xml:space="preserve">nach Maßgabe der in § 1 Absatz 2 für die jeweilige Seuche genannten Bestimmungen sowie</w:t>
      </w:r>
    </w:p>
    <w:p>
      <w:pPr>
        <w:ind w:left="780"/>
      </w:pPr>
      <w:r>
        <w:t xml:space="preserve">b) zur Untersuchung auf Klassische Schweinepest von im Rahmen der Ausübung der Jagd erlegten Wildschweinen, die keine klinischen oder mit bloßem Auge erkennbaren pathologisch-anatomischen Auffälligkeiten zeigen, nach Maßgabe der in § 1 Absatz 2 Nummer 2 genannten Bestimmung</w:t>
      </w:r>
    </w:p>
    <w:p>
      <w:pPr>
        <w:ind w:left="420"/>
      </w:pPr>
      <w:r>
        <w:t xml:space="preserve">zu entnehmen,</w:t>
      </w:r>
    </w:p>
    <w:p>
      <w:pPr>
        <w:ind w:left="420"/>
      </w:pPr>
      <w:r>
        <w:t xml:space="preserve">2. der von der zuständigen Behörde bestimmten Untersuchungseinrichtung zuzuleiten und</w:t>
      </w:r>
    </w:p>
    <w:p>
      <w:pPr>
        <w:ind w:left="420"/>
      </w:pPr>
      <w:r>
        <w:t xml:space="preserve">3. mit der Zuleitung nach Nummer 2 Angaben zu</w:t>
      </w:r>
    </w:p>
    <w:p>
      <w:pPr>
        <w:ind w:left="780"/>
      </w:pPr>
      <w:r>
        <w:t xml:space="preserve">a) dem Abschussort oder dem Fundort des jeweiligen Tieres,</w:t>
      </w:r>
    </w:p>
    <w:p>
      <w:pPr>
        <w:ind w:left="780"/>
      </w:pPr>
      <w:r>
        <w:t xml:space="preserve">b) dem Datum des Abschusses oder des Fundes und</w:t>
      </w:r>
    </w:p>
    <w:p>
      <w:pPr>
        <w:ind w:left="780"/>
      </w:pPr>
      <w:r>
        <w:t xml:space="preserve">c) den festgestellten Auffälligkeiten</w:t>
      </w:r>
    </w:p>
    <w:p>
      <w:pPr>
        <w:ind w:left="420"/>
      </w:pPr>
      <w:r>
        <w:t xml:space="preserve">mitzuteilen.</w:t>
      </w:r>
    </w:p>
    <w:p>
      <w:r>
        <w:rPr>
          <w:color w:val="555555"/>
          <w:sz w:val="17"/>
        </w:rPr>
        <w:t xml:space="preserve">Zitiervorschlag: § 2 SchwPestMonV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https://recht.nulegal.eu/gesetze/SchwPestMonV/2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