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SchwPestMonV — Monitoring</w:t>
      </w:r>
    </w:p>
    <w:p>
      <w:r>
        <w:rPr>
          <w:color w:val="555555"/>
          <w:sz w:val="18"/>
        </w:rPr>
        <w:t xml:space="preserve">Schweinepest-Monitoring-Verordnung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Länder führen jährlich ein Monitoring zur Früherkennung</w:t>
      </w:r>
    </w:p>
    <w:p>
      <w:pPr>
        <w:ind w:left="420"/>
      </w:pPr>
      <w:r>
        <w:t xml:space="preserve">1. der Klassischen und der Afrikanischen Schweinepest bei</w:t>
      </w:r>
    </w:p>
    <w:p>
      <w:pPr>
        <w:ind w:left="780"/>
      </w:pPr>
      <w:r>
        <w:t xml:space="preserve">a) verendet aufgefundenen Wildschweinen und</w:t>
      </w:r>
    </w:p>
    <w:p>
      <w:pPr>
        <w:ind w:left="780"/>
      </w:pPr>
      <w:r>
        <w:t xml:space="preserve">b) erlegten Wildschweinen, die klinische oder mit bloßem Auge erkennbare pathologisch-anatomische Auffälligkeiten zeigen,</w:t>
      </w:r>
    </w:p>
    <w:p>
      <w:pPr>
        <w:ind w:left="420"/>
      </w:pPr>
      <w:r>
        <w:t xml:space="preserve">sowie</w:t>
      </w:r>
    </w:p>
    <w:p>
      <w:pPr>
        <w:ind w:left="420"/>
      </w:pPr>
      <w:r>
        <w:t xml:space="preserve">2. der Klassischen Schweinepest bei</w:t>
      </w:r>
    </w:p>
    <w:p>
      <w:pPr>
        <w:ind w:left="780"/>
      </w:pPr>
      <w:r>
        <w:t xml:space="preserve">a) Hausschweinen und</w:t>
      </w:r>
    </w:p>
    <w:p>
      <w:pPr>
        <w:ind w:left="780"/>
      </w:pPr>
      <w:r>
        <w:t xml:space="preserve">b) erlegten Wildschweinen, die keine klinischen oder mit bloßem Auge erkennbaren pathologisch-anatomischen Auffälligkeiten zeigen,</w:t>
      </w:r>
    </w:p>
    <w:p>
      <w:r>
        <w:t xml:space="preserve">durch.</w:t>
      </w:r>
    </w:p>
    <w:p>
      <w:r>
        <w:t xml:space="preserve">(2) Im Rahmen des jeweiligen Monitorings sind Tupferproben, Blutproben oder Organproben zu untersuchen. Bei der Gewinnung, Lagerung und Beförderung sind hinsichtlich der Proben zur Untersuchung auf</w:t>
      </w:r>
    </w:p>
    <w:p>
      <w:pPr>
        <w:ind w:left="420"/>
      </w:pPr>
      <w:r>
        <w:t xml:space="preserve">1. Afrikanische Schweinepest die Vorgaben des Kapitels V Buchstabe B und C des Anhangs der Entscheidung 2003/422/EG der Kommission vom 26. Mai 2003 zur Genehmigung eines Diagnosehandbuchs für die Afrikanische Schweinepest (ABl. L 143 vom 11.6.2003, S. 35),</w:t>
      </w:r>
    </w:p>
    <w:p>
      <w:pPr>
        <w:ind w:left="420"/>
      </w:pPr>
      <w:r>
        <w:t xml:space="preserve">2. Klassische Schweinepest die Vorgaben des Kapitels V Buchstabe B und C des Anhangs der Entscheidung 2002/106/EG der Kommission vom 1. Februar 2002 zur Genehmigung eines Diagnosehandbuchs mit Diagnosemethoden, Probenahmeverfahren und Kriterien für die Auswertung von Laboruntersuchungen zur Bestätigung der Klassischen Schweinepest (ABl. L 39 vom 9.2.2002, S. 71)</w:t>
      </w:r>
    </w:p>
    <w:p>
      <w:r>
        <w:t xml:space="preserve">zu beachten.</w:t>
      </w:r>
    </w:p>
    <w:p>
      <w:r>
        <w:t xml:space="preserve">(3) Die Proben sind im Falle des Monitorings</w:t>
      </w:r>
    </w:p>
    <w:p>
      <w:pPr>
        <w:ind w:left="420"/>
      </w:pPr>
      <w:r>
        <w:t xml:space="preserve">1. nach Absatz 1 Nummer 1 virologisch (Virus-, Antigen- oder Genomnachweis),</w:t>
      </w:r>
    </w:p>
    <w:p>
      <w:pPr>
        <w:ind w:left="420"/>
      </w:pPr>
      <w:r>
        <w:t xml:space="preserve">2. nach Absatz 1 Nummer 2 serologisch (Antikörpernachweis)</w:t>
      </w:r>
    </w:p>
    <w:p>
      <w:r>
        <w:t xml:space="preserve">zu untersuchen.</w:t>
      </w:r>
    </w:p>
    <w:p>
      <w:r>
        <w:t xml:space="preserve">(4) Für die nach Absatz 1 Nummer 2 durchzuführenden Monitoringuntersuchungen bestimmt sich die Gesamtzahl der im jeweiligen Land mindestens zu untersuchenden Proben nach der Anlage.</w:t>
      </w:r>
    </w:p>
    <w:p>
      <w:r>
        <w:rPr>
          <w:color w:val="555555"/>
          <w:sz w:val="17"/>
        </w:rPr>
        <w:t xml:space="preserve">Zitiervorschlag: § 1 SchwPestMonV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https://recht.nulegal.eu/gesetze/SchwPestMonV/1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