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SchutzmV — Information über die Anspruchsberechtigung</w:t>
      </w:r>
    </w:p>
    <w:p>
      <w:r>
        <w:rPr>
          <w:color w:val="555555"/>
          <w:sz w:val="18"/>
        </w:rPr>
        <w:t xml:space="preserve">Coronavirus-Schutzmasken-Verordnung</w:t>
      </w:r>
    </w:p>
    <w:p>
      <w:r>
        <w:rPr>
          <w:color w:val="555555"/>
          <w:sz w:val="18"/>
        </w:rPr>
        <w:t xml:space="preserve">Historische Fassung: Stand 01.04.2021 bis 26.11.2022. Dies ist nicht die aktuelle Fassung.</w:t>
      </w:r>
    </w:p>
    <w:p>
      <w:r>
        <w:t xml:space="preserve">(1) Die Krankenkassen und die privaten Krankenversicherungsunternehmen ermitteln anhand der bei ihnen bis zum 15. Dezember 2020 vorliegenden Daten die bei ihnen versicherten Personen, die nach § 1 Absatz 1 Nummer 1, 2 oder Absatz 2 Nummer 1 anspruchsberechtigt sind, und informieren sie über das Bestehen des Anspruchs. Sie stellen den nach Satz 1 ermittelten anspruchsberechtigten Personen einmalig ein Informationsschreiben und Bescheinigungen zum Nachweis der Anspruchsberechtigung für den Anspruch nach § 2 Absatz 2 in fälschungssicherer Form zur Verfügung.</w:t>
      </w:r>
    </w:p>
    <w:p>
      <w:r>
        <w:t xml:space="preserve">(2) Die Krankenkassen und die privaten Krankenversicherungsunternehmen erhalten die nicht personalisierten Bescheinigungen nach Absatz 1 Satz 2 von der Bundesdruckerei. Sie haben der Bundesdruckerei bis zum 19. Dezember 2020 die für die Bereitstellung der Bescheinigungen erforderlichen Angaben zu übermitteln.</w:t>
      </w:r>
    </w:p>
    <w:p>
      <w:r>
        <w:t xml:space="preserve">(3) Das Nähere zur Ermittlung der anspruchsberechtigten Personen nach Absatz 1 Satz 1 bestimmen der Spitzenverband Bund der Krankenkassen und der Verband der Privaten Krankenversicherung gemeinsam bis zum 17. Dezember 2020.</w:t>
      </w:r>
    </w:p>
    <w:p>
      <w:r>
        <w:t xml:space="preserve">(4) Die Krankenkassen und die privaten Krankenversicherungsunternehmen haben die nach Absatz 1 Satz 1 ermittelten anspruchsberechtigten Personen in folgender Reihenfolge zu informieren:</w:t>
      </w:r>
    </w:p>
    <w:p>
      <w:pPr>
        <w:ind w:left="420"/>
      </w:pPr>
      <w:r>
        <w:t xml:space="preserve">1. die Personen, die das 75. Lebensjahr vollendet haben,</w:t>
      </w:r>
    </w:p>
    <w:p>
      <w:pPr>
        <w:ind w:left="420"/>
      </w:pPr>
      <w:r>
        <w:t xml:space="preserve">2. die Personen, die das 70. Lebensjahr vollendet haben und die Personen, bei denen eine in § 1 Absatz 1 Nummer 2 genannte Erkrankung oder ein in § 1 Absatz 1 Nummer 2 genannter Risikofaktor vorliegt, und</w:t>
      </w:r>
    </w:p>
    <w:p>
      <w:pPr>
        <w:ind w:left="420"/>
      </w:pPr>
      <w:r>
        <w:t xml:space="preserve">3. die Personen, die das 60. Lebensjahr vollendet haben.</w:t>
      </w:r>
    </w:p>
    <w:p>
      <w:r>
        <w:t xml:space="preserve">(5) Die Krankenkassen und die privaten Krankenversicherungsunternehmen ermitteln anhand der bei ihnen bis zum 31. Januar 2021 vorliegenden Daten die bei ihnen versicherten Personen, die nach § 1 Absatz 1 Nummer 3 oder Absatz 2 Nummer 2 anspruchsberechtigt sind und informieren sie über das Bestehen des Anspruchs. Sie stellen den ermittelten anspruchsberechtigten Personen einmalig ein Informationsschreiben zum Nachweis der Anspruchsberechtigung für den Anspruch nach § 2 Absatz 2a zur Verfügung.</w:t>
      </w:r>
    </w:p>
    <w:p>
      <w:r>
        <w:rPr>
          <w:color w:val="555555"/>
          <w:sz w:val="17"/>
        </w:rPr>
        <w:t xml:space="preserve">Zitiervorschlag: § 3 SchutzmV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https://recht.nulegal.eu/gesetze/SchutzmV/3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