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SchutzmV — Inkrafttreten, Außerkrafttreten</w:t>
      </w:r>
    </w:p>
    <w:p>
      <w:r>
        <w:rPr>
          <w:color w:val="555555"/>
          <w:sz w:val="18"/>
        </w:rPr>
        <w:t xml:space="preserve">Coronavirus-Schutzmasken-Verordnung</w:t>
      </w:r>
    </w:p>
    <w:p>
      <w:r>
        <w:rPr>
          <w:color w:val="555555"/>
          <w:sz w:val="18"/>
        </w:rPr>
        <w:t xml:space="preserve">Historische Fassung: Stand 12.03.2022 bis 26.11.2022. Dies ist nicht die aktuelle Fassung.</w:t>
      </w:r>
    </w:p>
    <w:p>
      <w:r>
        <w:t xml:space="preserve">Diese Verordnung tritt am 15. Dezember 2020 in Kraft; sie tritt mit Ablauf des 25. November 2022 außer Kraft.</w:t>
      </w:r>
    </w:p>
    <w:p>
      <w:r>
        <w:rPr>
          <w:color w:val="555555"/>
          <w:sz w:val="17"/>
        </w:rPr>
        <w:t xml:space="preserve">Zitiervorschlag: § 11 SchutzmV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https://recht.nulegal.eu/gesetze/SchutzmV/11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