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SchutzmV — Anspruchsberechtigter Personenkreis</w:t>
      </w:r>
    </w:p>
    <w:p>
      <w:r>
        <w:rPr>
          <w:color w:val="555555"/>
          <w:sz w:val="18"/>
        </w:rPr>
        <w:t xml:space="preserve">Coronavirus-Schutzmasken-Verordnung</w:t>
      </w:r>
    </w:p>
    <w:p>
      <w:r>
        <w:rPr>
          <w:color w:val="555555"/>
          <w:sz w:val="18"/>
        </w:rPr>
        <w:t xml:space="preserve">Historische Fassung: Stand 01.04.2021 bis 26.11.2022. Dies ist nicht die aktuelle Fassung.</w:t>
      </w:r>
    </w:p>
    <w:p>
      <w:r>
        <w:t xml:space="preserve">(1) Versicherte in der gesetzlichen Krankenversicherung, die ihren Wohnsitz oder gewöhnlichen Aufenthalt in der Bundesrepublik Deutschland haben, haben Anspruch auf Schutzmasken, wenn</w:t>
      </w:r>
    </w:p>
    <w:p>
      <w:pPr>
        <w:ind w:left="420"/>
      </w:pPr>
      <w:r>
        <w:t xml:space="preserve">1. sie das 60. Lebensjahr vollendet haben,</w:t>
      </w:r>
    </w:p>
    <w:p>
      <w:pPr>
        <w:ind w:left="420"/>
      </w:pPr>
      <w:r>
        <w:t xml:space="preserve">2. bei ihnen eine der folgenden Erkrankungen oder einer der folgenden Risikofaktoren vorliegt:</w:t>
      </w:r>
    </w:p>
    <w:p>
      <w:pPr>
        <w:ind w:left="780"/>
      </w:pPr>
      <w:r>
        <w:t xml:space="preserve">a) chronisch obstruktive Lungenerkrankung oder Asthma bronchiale,</w:t>
      </w:r>
    </w:p>
    <w:p>
      <w:pPr>
        <w:ind w:left="780"/>
      </w:pPr>
      <w:r>
        <w:t xml:space="preserve">b) chronische Herzinsuffizienz,</w:t>
      </w:r>
    </w:p>
    <w:p>
      <w:pPr>
        <w:ind w:left="780"/>
      </w:pPr>
      <w:r>
        <w:t xml:space="preserve">c) chronische Niereninsuffizienz Stadium ≥ 4,</w:t>
      </w:r>
    </w:p>
    <w:p>
      <w:pPr>
        <w:ind w:left="780"/>
      </w:pPr>
      <w:r>
        <w:t xml:space="preserve">d) Demenz oder Schlaganfall,</w:t>
      </w:r>
    </w:p>
    <w:p>
      <w:pPr>
        <w:ind w:left="780"/>
      </w:pPr>
      <w:r>
        <w:t xml:space="preserve">e) Diabetes mellitus Typ 2,</w:t>
      </w:r>
    </w:p>
    <w:p>
      <w:pPr>
        <w:ind w:left="780"/>
      </w:pPr>
      <w:r>
        <w:t xml:space="preserve">f) aktive, fortschreitende oder metastasierte Krebserkrankung oder stattfindende Chemo- oder Radiotherapie, welche die Immunabwehr beeinträchtigen kann,</w:t>
      </w:r>
    </w:p>
    <w:p>
      <w:pPr>
        <w:ind w:left="780"/>
      </w:pPr>
      <w:r>
        <w:t xml:space="preserve">g) stattgefundene Organ- oder Stammzellentransplantation,</w:t>
      </w:r>
    </w:p>
    <w:p>
      <w:pPr>
        <w:ind w:left="780"/>
      </w:pPr>
      <w:r>
        <w:t xml:space="preserve">h) Trisomie 21,</w:t>
      </w:r>
    </w:p>
    <w:p>
      <w:pPr>
        <w:ind w:left="780"/>
      </w:pPr>
      <w:r>
        <w:t xml:space="preserve">i) Risikoschwangerschaft oder</w:t>
      </w:r>
    </w:p>
    <w:p>
      <w:pPr>
        <w:ind w:left="420"/>
      </w:pPr>
      <w:r>
        <w:t xml:space="preserve">3. sie Arbeitslosengeld II nach dem Zweiten Buch Sozialgesetzbuch beziehen oder mit einer solchen Person in einer Bedarfsgemeinschaft im Sinne des § 7 Absatz 3 des Zweiten Buches Sozialgesetzbuch leben.</w:t>
      </w:r>
    </w:p>
    <w:p>
      <w:r>
        <w:t xml:space="preserve">(2) Den Anspruch nach Absatz 1 haben auch Personen, die nicht in der gesetzlichen Krankenversicherung versichert sind, wenn sie ihren Wohnsitz oder gewöhnlichen Aufenthalt in der Bundesrepublik Deutschland haben und wenn</w:t>
      </w:r>
    </w:p>
    <w:p>
      <w:pPr>
        <w:ind w:left="420"/>
      </w:pPr>
      <w:r>
        <w:t xml:space="preserve">1. sie die Voraussetzungen nach Absatz 1 Nummer 1 oder Nummer 2 erfüllen oder</w:t>
      </w:r>
    </w:p>
    <w:p>
      <w:pPr>
        <w:ind w:left="420"/>
      </w:pPr>
      <w:r>
        <w:t xml:space="preserve">2. sie die Voraussetzungen nach Absatz 1 Nummer 3 erfüllen.</w:t>
      </w:r>
    </w:p>
    <w:p>
      <w:r>
        <w:rPr>
          <w:color w:val="555555"/>
          <w:sz w:val="17"/>
        </w:rPr>
        <w:t xml:space="preserve">Zitiervorschlag: § 1 SchutzmV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