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SchutzmAussV</w:t>
      </w:r>
    </w:p>
    <w:p>
      <w:r>
        <w:rPr>
          <w:color w:val="555555"/>
          <w:sz w:val="18"/>
        </w:rPr>
        <w:t xml:space="preserve">Schutzmaßnahmenaussetzungsverordnung</w:t>
      </w:r>
    </w:p>
    <w:p>
      <w:r>
        <w:rPr>
          <w:color w:val="555555"/>
          <w:sz w:val="18"/>
        </w:rPr>
        <w:t xml:space="preserve">Historische Fassung: Stand 02.02.2023 bis 25.06.2023. Dies ist nicht die aktuelle Fassung.</w:t>
      </w:r>
    </w:p>
    <w:p>
      <w:r>
        <w:t xml:space="preserve">Auf Grund des § 28b Absatz 8 Nummer 1 des Infektionsschutzgesetzes, der durch Artikel 1a Nummer 3 des Gesetzes vom 16. September 2022 (BGBl. I S. 1454) neu gefasst worden ist, verordnet die Bundesregierung:</w:t>
      </w:r>
    </w:p>
    <w:p>
      <w:r>
        <w:rPr>
          <w:color w:val="555555"/>
          <w:sz w:val="17"/>
        </w:rPr>
        <w:t xml:space="preserve">Zitiervorschlag: Eingangsformel SchutzmAussV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https://recht.nulegal.eu/gesetze/SchutzmAussV/eingangsformel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