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SchutzmAussV — Inkrafttreten, Außerkrafttreten</w:t>
      </w:r>
    </w:p>
    <w:p>
      <w:r>
        <w:rPr>
          <w:color w:val="555555"/>
          <w:sz w:val="18"/>
        </w:rPr>
        <w:t xml:space="preserve">Schutzmaßnahmenaussetzungsverordnung</w:t>
      </w:r>
    </w:p>
    <w:p>
      <w:r>
        <w:rPr>
          <w:color w:val="555555"/>
          <w:sz w:val="18"/>
        </w:rPr>
        <w:t xml:space="preserve">Historische Fassung: Stand 14.03.2023 bis 25.06.2023. Dies ist nicht die aktuelle Fassung.</w:t>
      </w:r>
    </w:p>
    <w:p>
      <w:r>
        <w:t xml:space="preserve">Diese Verordnung tritt am 2. Februar 2023 in Kraft und mit Ablauf des 7. April 2023 außer Kraft.</w:t>
      </w:r>
    </w:p>
    <w:p>
      <w:r>
        <w:rPr>
          <w:color w:val="555555"/>
          <w:sz w:val="17"/>
        </w:rPr>
        <w:t xml:space="preserve">Zitiervorschlag: § 4 SchutzmAussV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https://recht.nulegal.eu/gesetze/SchutzmAussV/4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SchutzmAussV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