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SchulgespflV (Bayern)</w:t>
      </w:r>
    </w:p>
    <w:p>
      <w:r>
        <w:rPr>
          <w:color w:val="555555"/>
          <w:sz w:val="18"/>
        </w:rPr>
        <w:t xml:space="preserve">Verordnung zur Schulgesundheitspflege Schulgesundheitspflegeverordnung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34 Abs. 1 Nr. 11 des Gesetzes über den öffentlichen Gesundheits- und Veterinärdienst, die Ernährung und den Verbraucherschutz sowie die Lebensmittelüberwachung (Gesundheits- und Verbraucherschutzgesetz – GDVG) vom 24. Juli 2003 (GVBl S. 452, BayRS 2120-1-UG), zuletzt geändert durch Gesetz vom 22. Juli 2008 (GVBl S. 464), erlässt das Bayerische Staatsministerium für Umwelt und Gesundheit im Einvernehmen mit dem Bayerischen Staatsministerium für Unterricht und Kultus folgende Verordnung:</w:t>
      </w:r>
    </w:p>
    <w:p>
      <w:r>
        <w:rPr>
          <w:color w:val="555555"/>
          <w:sz w:val="17"/>
        </w:rPr>
        <w:t xml:space="preserve">Zitiervorschlag: Eingangsformel SchulgespflV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https://recht.nulegal.eu/gesetze/SchulgespflV/eingangsformel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