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SchulgespflV (Bayern) — Ergebnis der Schuleingangsuntersuchung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Ergebnis der Schuleingangsuntersuchung erhalten die Personensorgeberechtigten schriftlich.</w:t>
      </w:r>
    </w:p>
    <w:p>
      <w:r>
        <w:t xml:space="preserve">(2) Soweit besondere Folgerungen für die Unterrichtsgestaltung zu ziehen sind, wird auch die Schulleitung hierüber schriftlich informiert. Die Personensorgeberechtigten sind hiervon in Kenntnis zu setzen.</w:t>
      </w:r>
    </w:p>
    <w:p>
      <w:r>
        <w:t xml:space="preserve">(3) Die Personensorgeberechtigten haben der Schule vor der Einschulung eine Bestätigung vorzulegen, die die Teilnahme an der Schuleingangsuntersuchung nachweist.</w:t>
      </w:r>
    </w:p>
    <w:p>
      <w:r>
        <w:rPr>
          <w:color w:val="555555"/>
          <w:sz w:val="17"/>
        </w:rPr>
        <w:t xml:space="preserve">Zitiervorschlag: § 8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