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SchulgespflV (Bayern) — Schulärztliche Untersuchung</w:t>
      </w:r>
    </w:p>
    <w:p>
      <w:r>
        <w:rPr>
          <w:color w:val="555555"/>
          <w:sz w:val="18"/>
        </w:rPr>
        <w:t xml:space="preserve">Verordnung zur Schulgesundheitspflege Schulgesundheitspflegeverordnung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auffälligem Befund im Schuleingangsscreening, bei auffälligem Befund in der Früherkennungsuntersuchung U9 oder bei chronischer Erkrankung wird ergänzend eine schulärztliche Untersuchung angeboten, wenn diese Befunde schulrelevant erscheinen.</w:t>
      </w:r>
    </w:p>
    <w:p>
      <w:r>
        <w:t xml:space="preserve">(2) Eine schulärztliche Untersuchung kann auch auf Wunsch der Personensorgeberechtigten erfolgen.</w:t>
      </w:r>
    </w:p>
    <w:p>
      <w:r>
        <w:rPr>
          <w:color w:val="555555"/>
          <w:sz w:val="17"/>
        </w:rPr>
        <w:t xml:space="preserve">Zitiervorschlag: § 7 SchulgespflV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https://recht.nulegal.eu/gesetze/SchulgespflV/7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