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SchulgespflV (Bayern) — Inhalt der Schuleingangsuntersuchung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Schuleingangsuntersuchung beinhaltet ein Schuleingangsscreening und eine Erhebung des Impfstatus (§ 6) sowie in besonderen Fällen eine schulärztliche Untersuchung (§ 7).</w:t>
      </w:r>
    </w:p>
    <w:p>
      <w:r>
        <w:t xml:space="preserve">(2) Die Personensorgeberechtigten sind verpflichtet, den unteren Behörden für Gesundheit, Veterinärwesen, Ernährung und Verbraucherschutz das Kind vorzustellen sowie einen geeigneten Nachweis über die Teilnahme des Kindes an der U9-Früherkennungsuntersuchung zu führen. Der Nachweis kann beispielsweise durch Vorlage des gelben Kinderuntersuchungsheftes oder eines ärztlichen Attestes erbracht werden.</w:t>
      </w:r>
    </w:p>
    <w:p>
      <w:r>
        <w:rPr>
          <w:color w:val="555555"/>
          <w:sz w:val="17"/>
        </w:rPr>
        <w:t xml:space="preserve">Zitiervorschlag: § 5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