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SchulgespflV (Bayern) — Ziele der Schuleingangsuntersuchung</w:t>
      </w:r>
    </w:p>
    <w:p>
      <w:r>
        <w:rPr>
          <w:color w:val="555555"/>
          <w:sz w:val="18"/>
        </w:rPr>
        <w:t xml:space="preserve">Verordnung zur Schulgesundheitspflege Schulgesundheitspflegeverordnung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Schuleingangsuntersuchung dient</w:t>
      </w:r>
    </w:p>
    <w:p>
      <w:r>
        <w:t xml:space="preserve">1. der Feststellung, ob das schulpflichtige Kind aus gesundheitlicher Sicht am Unterricht seiner schulischen Entwicklungsfähigkeit entsprechend, bei Kindern mit sonderpädagogischem Förderbedarf an einer allgemeinen Schule zumindest aktiv, teilnehmen kann,</w:t>
      </w:r>
    </w:p>
    <w:p>
      <w:r>
        <w:t xml:space="preserve">2. der Erkennung von gesundheitlichen Beeinträchtigungen oder Behinderungen oder Entwicklungsverzögerungen oder Förderbedarf,</w:t>
      </w:r>
    </w:p>
    <w:p>
      <w:r>
        <w:t xml:space="preserve">3. der Beratung auch über weitere Hilfe leistende Stellen oder Personen insbesondere für diagnostische und therapeutische Möglichkeiten sowie der Ableitung von Empfehlungen zur Gestaltung des Schulalltags,</w:t>
      </w:r>
    </w:p>
    <w:p>
      <w:r>
        <w:t xml:space="preserve">4. der Mitwirkung bei Beratung zur Auswahl der geeigneten Schulform oder schulvorbereitender Einrichtungen für Kinder mit sonderpädagogischem Förderbedarf,</w:t>
      </w:r>
    </w:p>
    <w:p>
      <w:r>
        <w:t xml:space="preserve">5. der Erhebung bevölkerungsbezogener Gesundheitsparameter; die Ergebnisse fließen in die Gesundheitsberichterstattung ein, um als Grundlage für Präventionsmaßnahmen zu dienen.</w:t>
      </w:r>
    </w:p>
    <w:p>
      <w:r>
        <w:rPr>
          <w:color w:val="555555"/>
          <w:sz w:val="17"/>
        </w:rPr>
        <w:t xml:space="preserve">Zitiervorschlag: § 4 SchulgespflV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https://recht.nulegal.eu/gesetze/SchulgespflV/4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