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SchulgespflV (Bayern) — Zuständigkeit</w:t>
      </w:r>
    </w:p>
    <w:p>
      <w:r>
        <w:rPr>
          <w:color w:val="555555"/>
          <w:sz w:val="18"/>
        </w:rPr>
        <w:t xml:space="preserve">Verordnung zur Schulgesundheitspflege Schulgesundheitspflegeverordnung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Durchführung der Maßnahmen der Schulgesundheitspflege obliegt den unteren Behörden für Gesundheit, Veterinärwesen, Ernährung und Verbraucherschutz. Sie werden von den Schulen darin unterstützt.</w:t>
      </w:r>
    </w:p>
    <w:p>
      <w:r>
        <w:rPr>
          <w:color w:val="555555"/>
          <w:sz w:val="17"/>
        </w:rPr>
        <w:t xml:space="preserve">Zitiervorschlag: § 3 SchulgespflV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https://recht.nulegal.eu/gesetze/SchulgespflV/3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