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SchulgespflV (Bayern) — Dokumentation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Untersuchungen im Rahmen der Schulgesundheitspflege werden dokumentiert. Die Dokumente verbleiben für die gesetzlich festgelegte Dauer bei den unteren Behörden für Gesundheit, Veterinärwesen, Ernährung und Verbraucherschutz.</w:t>
      </w:r>
    </w:p>
    <w:p>
      <w:r>
        <w:t xml:space="preserve">(2) Statistische Nachweise über die Schulgesundheitspflege führt der Öffentliche Gesundheitsdienst im Rahmen der Gesundheitsberichterstattung (§ 11).</w:t>
      </w:r>
    </w:p>
    <w:p>
      <w:r>
        <w:rPr>
          <w:color w:val="555555"/>
          <w:sz w:val="17"/>
        </w:rPr>
        <w:t xml:space="preserve">Zitiervorschlag: § 14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SchulgespflV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