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SchulgespflV (Bayern) — Anwendungsbereich</w:t>
      </w:r>
    </w:p>
    <w:p>
      <w:r>
        <w:rPr>
          <w:color w:val="555555"/>
          <w:sz w:val="18"/>
        </w:rPr>
        <w:t xml:space="preserve">Verordnung zur Schulgesundheitspflege Schulgesundheitspflegeverordnung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Von der Schulgesundheitspflege sind die Volksschulen, Realschulen, Gymnasien, beruflichen Schulen sowie die Förderschulen erfasst.</w:t>
      </w:r>
    </w:p>
    <w:p>
      <w:r>
        <w:rPr>
          <w:color w:val="555555"/>
          <w:sz w:val="17"/>
        </w:rPr>
        <w:t xml:space="preserve">Zitiervorschlag: § 1 SchulgespflV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https://recht.nulegal.eu/gesetze/SchulgespflV/1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