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SchuldSaarUmstV</w:t>
      </w:r>
    </w:p>
    <w:p>
      <w:r>
        <w:rPr>
          <w:color w:val="555555"/>
          <w:sz w:val="18"/>
        </w:rPr>
        <w:t xml:space="preserve">Verordnung über die Umstellung von Schuldverhältnissen und dinglichen Rechten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 Abs. 1 Nr. 3 des Gesetzes über die Eingliederung des Saarlandes vom 23. Dezember 1956 (Bundesgesetzbl. I S. 1011) verordnet die Bundesregierung nach Anhörung der Regierung des Saarlandes:</w:t>
      </w:r>
    </w:p>
    <w:p>
      <w:r>
        <w:rPr>
          <w:color w:val="555555"/>
          <w:sz w:val="17"/>
        </w:rPr>
        <w:t xml:space="preserve">Zitiervorschlag: Eingangsformel SchuldSaarUmstV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https://recht.nulegal.eu/gesetze/SchuldSaarUmstV/eingangsformel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