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SchuldSaarUmstV</w:t>
      </w:r>
    </w:p>
    <w:p>
      <w:r>
        <w:rPr>
          <w:color w:val="555555"/>
          <w:sz w:val="18"/>
        </w:rPr>
        <w:t xml:space="preserve">Verordnung über die Umstellung von Schuldverhältnissen und dinglichen Rechten im Saarland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Anwendung dieser Verordnung gelten auf Reichsmark lautende, noch nicht auf Franken oder Deutsche Mark umgestellte Verbindlichkeiten von Personen im Saarland (Artikel 55 Abs. 8 Buchstabe a des Saarvertrages) als auf Franken umgestellt; an Stelle von einer Reichsmark treten zwanzig Franken.</w:t>
      </w:r>
    </w:p>
    <w:p>
      <w:r>
        <w:rPr>
          <w:color w:val="555555"/>
          <w:sz w:val="17"/>
        </w:rPr>
        <w:t xml:space="preserve">Zitiervorschlag: § 7 SchuldSaarUmstV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https://recht.nulegal.eu/gesetze/SchuldSaarUmstV/7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